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80" w:rsidRDefault="002250E9">
      <w:pPr>
        <w:pStyle w:val="Heading1"/>
        <w:spacing w:before="87"/>
        <w:ind w:left="212" w:right="0"/>
        <w:jc w:val="left"/>
      </w:pPr>
      <w:r>
        <w:rPr>
          <w:w w:val="125"/>
        </w:rPr>
        <w:t>Introduction and background</w:t>
      </w:r>
    </w:p>
    <w:p w:rsidR="007F1F80" w:rsidRDefault="007F1F80">
      <w:pPr>
        <w:pStyle w:val="BodyText"/>
        <w:spacing w:before="1"/>
        <w:rPr>
          <w:sz w:val="30"/>
        </w:rPr>
      </w:pPr>
    </w:p>
    <w:p w:rsidR="007F1F80" w:rsidRDefault="002250E9">
      <w:pPr>
        <w:pStyle w:val="BodyText"/>
        <w:spacing w:line="314" w:lineRule="auto"/>
        <w:ind w:left="212" w:right="166"/>
        <w:jc w:val="both"/>
      </w:pPr>
      <w:r>
        <w:rPr>
          <w:w w:val="110"/>
        </w:rPr>
        <w:t>The Capital Requirements Directive ('the Directive'</w:t>
      </w:r>
      <w:r>
        <w:rPr>
          <w:w w:val="110"/>
        </w:rPr>
        <w:t xml:space="preserve">) of the European Union establishes a revised regulatory capital framework across Europe governing the amount and nature </w:t>
      </w:r>
      <w:proofErr w:type="gramStart"/>
      <w:r>
        <w:rPr>
          <w:w w:val="110"/>
        </w:rPr>
        <w:t>of  capital</w:t>
      </w:r>
      <w:proofErr w:type="gramEnd"/>
      <w:r>
        <w:rPr>
          <w:w w:val="110"/>
        </w:rPr>
        <w:t xml:space="preserve">  credit  institutions and investment firms must maintain. In the United Kingdom, the Directive has been implemented by the </w:t>
      </w:r>
      <w:r>
        <w:rPr>
          <w:w w:val="110"/>
        </w:rPr>
        <w:t xml:space="preserve">Financial Conduct Authority ('FCA') in its regulations through </w:t>
      </w:r>
      <w:proofErr w:type="gramStart"/>
      <w:r>
        <w:rPr>
          <w:w w:val="110"/>
        </w:rPr>
        <w:t>the  General</w:t>
      </w:r>
      <w:proofErr w:type="gramEnd"/>
      <w:r>
        <w:rPr>
          <w:w w:val="110"/>
        </w:rPr>
        <w:t xml:space="preserve">  Prudential Sourcebook ('GENPRU') and the Prudential Sourcebook for Banks, Building Societies and Investment firms ('BIPRU'). The FCA framework consists of three</w:t>
      </w:r>
      <w:r>
        <w:rPr>
          <w:spacing w:val="31"/>
          <w:w w:val="110"/>
        </w:rPr>
        <w:t xml:space="preserve"> </w:t>
      </w:r>
      <w:r>
        <w:rPr>
          <w:w w:val="110"/>
        </w:rPr>
        <w:t>Pillars:</w:t>
      </w:r>
    </w:p>
    <w:p w:rsidR="007F1F80" w:rsidRDefault="007F1F80">
      <w:pPr>
        <w:pStyle w:val="BodyText"/>
        <w:spacing w:before="2"/>
        <w:rPr>
          <w:sz w:val="24"/>
        </w:rPr>
      </w:pPr>
    </w:p>
    <w:p w:rsidR="007F1F80" w:rsidRDefault="002250E9">
      <w:pPr>
        <w:pStyle w:val="ListParagraph"/>
        <w:numPr>
          <w:ilvl w:val="0"/>
          <w:numId w:val="2"/>
        </w:numPr>
        <w:tabs>
          <w:tab w:val="left" w:pos="745"/>
          <w:tab w:val="left" w:pos="746"/>
        </w:tabs>
        <w:spacing w:before="1" w:line="314" w:lineRule="auto"/>
        <w:ind w:right="167" w:hanging="532"/>
        <w:jc w:val="left"/>
        <w:rPr>
          <w:sz w:val="18"/>
        </w:rPr>
      </w:pPr>
      <w:r>
        <w:rPr>
          <w:w w:val="110"/>
          <w:sz w:val="18"/>
        </w:rPr>
        <w:t>Pillar 1</w:t>
      </w:r>
      <w:r>
        <w:rPr>
          <w:w w:val="110"/>
          <w:sz w:val="18"/>
        </w:rPr>
        <w:t xml:space="preserve"> sets out the minimum capital amount  that  meets  the  firm's  credit,  market  and operational</w:t>
      </w:r>
      <w:r>
        <w:rPr>
          <w:spacing w:val="3"/>
          <w:w w:val="110"/>
          <w:sz w:val="18"/>
        </w:rPr>
        <w:t xml:space="preserve"> </w:t>
      </w:r>
      <w:r>
        <w:rPr>
          <w:w w:val="110"/>
          <w:sz w:val="18"/>
        </w:rPr>
        <w:t>risk;</w:t>
      </w:r>
    </w:p>
    <w:p w:rsidR="007F1F80" w:rsidRDefault="002250E9">
      <w:pPr>
        <w:pStyle w:val="ListParagraph"/>
        <w:numPr>
          <w:ilvl w:val="0"/>
          <w:numId w:val="2"/>
        </w:numPr>
        <w:tabs>
          <w:tab w:val="left" w:pos="746"/>
        </w:tabs>
        <w:spacing w:line="314" w:lineRule="auto"/>
        <w:ind w:right="168" w:hanging="532"/>
        <w:rPr>
          <w:sz w:val="18"/>
        </w:rPr>
      </w:pPr>
      <w:r>
        <w:rPr>
          <w:w w:val="115"/>
          <w:sz w:val="18"/>
        </w:rPr>
        <w:t>Pillar 2 requires the firm to assess whether its capital reserves, processes, strategies  and systems are adequate to meet Pillar 1 requirements and, fur</w:t>
      </w:r>
      <w:r>
        <w:rPr>
          <w:w w:val="115"/>
          <w:sz w:val="18"/>
        </w:rPr>
        <w:t>ther, to determine whether it should apply additional capital, processes, strategies or systems to cover any other risks that it may be exposed to; and</w:t>
      </w:r>
    </w:p>
    <w:p w:rsidR="007F1F80" w:rsidRDefault="002250E9">
      <w:pPr>
        <w:pStyle w:val="ListParagraph"/>
        <w:numPr>
          <w:ilvl w:val="0"/>
          <w:numId w:val="2"/>
        </w:numPr>
        <w:tabs>
          <w:tab w:val="left" w:pos="745"/>
          <w:tab w:val="left" w:pos="746"/>
        </w:tabs>
        <w:spacing w:before="5" w:line="314" w:lineRule="auto"/>
        <w:ind w:right="166" w:hanging="532"/>
        <w:jc w:val="left"/>
        <w:rPr>
          <w:sz w:val="18"/>
        </w:rPr>
      </w:pPr>
      <w:r>
        <w:rPr>
          <w:w w:val="110"/>
          <w:sz w:val="18"/>
        </w:rPr>
        <w:t xml:space="preserve">Pillar 3 requires disclosure of specified information about the underlying </w:t>
      </w:r>
      <w:proofErr w:type="gramStart"/>
      <w:r>
        <w:rPr>
          <w:w w:val="110"/>
          <w:sz w:val="18"/>
        </w:rPr>
        <w:t>risk  management</w:t>
      </w:r>
      <w:proofErr w:type="gramEnd"/>
      <w:r>
        <w:rPr>
          <w:w w:val="110"/>
          <w:sz w:val="18"/>
        </w:rPr>
        <w:t xml:space="preserve">  controls an</w:t>
      </w:r>
      <w:r>
        <w:rPr>
          <w:w w:val="110"/>
          <w:sz w:val="18"/>
        </w:rPr>
        <w:t>d capital position to encourage market</w:t>
      </w:r>
      <w:r>
        <w:rPr>
          <w:spacing w:val="38"/>
          <w:w w:val="110"/>
          <w:sz w:val="18"/>
        </w:rPr>
        <w:t xml:space="preserve"> </w:t>
      </w:r>
      <w:r>
        <w:rPr>
          <w:w w:val="110"/>
          <w:sz w:val="18"/>
        </w:rPr>
        <w:t>discipline.</w:t>
      </w:r>
    </w:p>
    <w:p w:rsidR="007F1F80" w:rsidRDefault="007F1F80">
      <w:pPr>
        <w:pStyle w:val="BodyText"/>
        <w:spacing w:before="9"/>
        <w:rPr>
          <w:sz w:val="23"/>
        </w:rPr>
      </w:pPr>
    </w:p>
    <w:p w:rsidR="007F1F80" w:rsidRDefault="002250E9">
      <w:pPr>
        <w:pStyle w:val="BodyText"/>
        <w:spacing w:line="314" w:lineRule="auto"/>
        <w:ind w:left="212" w:right="166"/>
        <w:jc w:val="both"/>
      </w:pPr>
      <w:r>
        <w:rPr>
          <w:w w:val="110"/>
        </w:rPr>
        <w:t>The rules in BIPRU 11 set out the provision for Pillar 3 disclosure. This document is designed to meet   the firm’s Pillar 3</w:t>
      </w:r>
      <w:r>
        <w:rPr>
          <w:spacing w:val="11"/>
          <w:w w:val="110"/>
        </w:rPr>
        <w:t xml:space="preserve"> </w:t>
      </w:r>
      <w:r>
        <w:rPr>
          <w:w w:val="110"/>
        </w:rPr>
        <w:t>obligations.</w:t>
      </w:r>
    </w:p>
    <w:p w:rsidR="007F1F80" w:rsidRDefault="002250E9">
      <w:pPr>
        <w:pStyle w:val="BodyText"/>
        <w:spacing w:line="316" w:lineRule="auto"/>
        <w:ind w:left="212" w:right="164"/>
        <w:jc w:val="both"/>
      </w:pPr>
      <w:r>
        <w:rPr>
          <w:w w:val="115"/>
        </w:rPr>
        <w:t xml:space="preserve">The Pillar 3 disclosure document has been prepared by Bluefin LLP </w:t>
      </w:r>
      <w:r>
        <w:rPr>
          <w:w w:val="115"/>
        </w:rPr>
        <w:t>(“the Firm”) in accordance with the requirements BIPRU 11, and is verified by the Firm’s partners. Unless otherwise stated, all figures are as at 31 December 2017, the Firm’s financial year-end.</w:t>
      </w:r>
    </w:p>
    <w:p w:rsidR="007F1F80" w:rsidRDefault="007F1F80">
      <w:pPr>
        <w:pStyle w:val="BodyText"/>
        <w:spacing w:before="3"/>
        <w:rPr>
          <w:sz w:val="23"/>
        </w:rPr>
      </w:pPr>
    </w:p>
    <w:p w:rsidR="007F1F80" w:rsidRDefault="002250E9">
      <w:pPr>
        <w:pStyle w:val="BodyText"/>
        <w:spacing w:line="316" w:lineRule="auto"/>
        <w:ind w:left="212" w:right="257"/>
      </w:pPr>
      <w:r>
        <w:rPr>
          <w:spacing w:val="3"/>
          <w:w w:val="110"/>
        </w:rPr>
        <w:t xml:space="preserve">We </w:t>
      </w:r>
      <w:r>
        <w:rPr>
          <w:w w:val="110"/>
        </w:rPr>
        <w:t xml:space="preserve">are permitted to omit required disclosures </w:t>
      </w:r>
      <w:r>
        <w:rPr>
          <w:spacing w:val="-3"/>
          <w:w w:val="110"/>
        </w:rPr>
        <w:t xml:space="preserve">if </w:t>
      </w:r>
      <w:r>
        <w:rPr>
          <w:w w:val="110"/>
        </w:rPr>
        <w:t xml:space="preserve">we believe </w:t>
      </w:r>
      <w:r>
        <w:rPr>
          <w:w w:val="110"/>
        </w:rPr>
        <w:t xml:space="preserve">that the information is immaterial such that omission would be unlikely to change or influence </w:t>
      </w:r>
      <w:proofErr w:type="gramStart"/>
      <w:r>
        <w:rPr>
          <w:w w:val="110"/>
        </w:rPr>
        <w:t>the  decision</w:t>
      </w:r>
      <w:proofErr w:type="gramEnd"/>
      <w:r>
        <w:rPr>
          <w:w w:val="110"/>
        </w:rPr>
        <w:t xml:space="preserve"> of a reader relying  on that  information. In addition, we may omit required disclosures where we believe that the information is regarded as propr</w:t>
      </w:r>
      <w:r>
        <w:rPr>
          <w:w w:val="110"/>
        </w:rPr>
        <w:t>ietary or confidential. In our view, proprietary information is that which, if it were shared, would undermine our competitive position. Information is considered to be confidential where there are obligations binding us to confidentiality with our custome</w:t>
      </w:r>
      <w:r>
        <w:rPr>
          <w:w w:val="110"/>
        </w:rPr>
        <w:t xml:space="preserve">rs, </w:t>
      </w:r>
      <w:proofErr w:type="gramStart"/>
      <w:r>
        <w:rPr>
          <w:w w:val="110"/>
        </w:rPr>
        <w:t>suppliers  and</w:t>
      </w:r>
      <w:proofErr w:type="gramEnd"/>
      <w:r>
        <w:rPr>
          <w:w w:val="110"/>
        </w:rPr>
        <w:t xml:space="preserve">  counterparties.  </w:t>
      </w:r>
      <w:r>
        <w:rPr>
          <w:spacing w:val="3"/>
          <w:w w:val="110"/>
        </w:rPr>
        <w:t xml:space="preserve">We </w:t>
      </w:r>
      <w:r>
        <w:rPr>
          <w:w w:val="110"/>
        </w:rPr>
        <w:t xml:space="preserve">have made no omissions on the grounds that it is proprietary </w:t>
      </w:r>
      <w:proofErr w:type="gramStart"/>
      <w:r>
        <w:rPr>
          <w:w w:val="110"/>
        </w:rPr>
        <w:t>or  confidential</w:t>
      </w:r>
      <w:proofErr w:type="gramEnd"/>
      <w:r>
        <w:rPr>
          <w:w w:val="110"/>
        </w:rPr>
        <w:t xml:space="preserve">  and  we  have  clearly  stated within the specific risk where we feel that disclosure would be immaterial.</w:t>
      </w:r>
    </w:p>
    <w:p w:rsidR="007F1F80" w:rsidRDefault="007F1F80">
      <w:pPr>
        <w:pStyle w:val="BodyText"/>
        <w:rPr>
          <w:sz w:val="20"/>
        </w:rPr>
      </w:pPr>
    </w:p>
    <w:p w:rsidR="007F1F80" w:rsidRDefault="007F1F80">
      <w:pPr>
        <w:pStyle w:val="BodyText"/>
        <w:spacing w:before="7"/>
        <w:rPr>
          <w:sz w:val="26"/>
        </w:rPr>
      </w:pPr>
    </w:p>
    <w:p w:rsidR="007F1F80" w:rsidRDefault="002250E9">
      <w:pPr>
        <w:pStyle w:val="BodyText"/>
        <w:ind w:left="212"/>
      </w:pPr>
      <w:r>
        <w:rPr>
          <w:w w:val="125"/>
        </w:rPr>
        <w:t>Scope and application of the requirements</w:t>
      </w:r>
    </w:p>
    <w:p w:rsidR="007F1F80" w:rsidRDefault="002250E9">
      <w:pPr>
        <w:pStyle w:val="BodyText"/>
        <w:spacing w:before="67" w:line="314" w:lineRule="auto"/>
        <w:ind w:left="212" w:right="165"/>
        <w:jc w:val="both"/>
      </w:pPr>
      <w:r>
        <w:rPr>
          <w:w w:val="110"/>
        </w:rPr>
        <w:t xml:space="preserve">The Firm is </w:t>
      </w:r>
      <w:proofErr w:type="spellStart"/>
      <w:r>
        <w:rPr>
          <w:w w:val="110"/>
        </w:rPr>
        <w:t>authorised</w:t>
      </w:r>
      <w:proofErr w:type="spellEnd"/>
      <w:r>
        <w:rPr>
          <w:w w:val="110"/>
        </w:rPr>
        <w:t xml:space="preserve"> and regulated by the Financial Conduct Authority and as such it is subject to minimum regulatory capital requirements. The Firm is </w:t>
      </w:r>
      <w:proofErr w:type="spellStart"/>
      <w:r>
        <w:rPr>
          <w:w w:val="110"/>
        </w:rPr>
        <w:t>categorised</w:t>
      </w:r>
      <w:proofErr w:type="spellEnd"/>
      <w:r>
        <w:rPr>
          <w:w w:val="110"/>
        </w:rPr>
        <w:t xml:space="preserve"> by the FCA as a full scope firm for capital purp</w:t>
      </w:r>
      <w:r>
        <w:rPr>
          <w:w w:val="110"/>
        </w:rPr>
        <w:t>oses. The firm has a simple operational infrastructure. The nature of the firm's business is proprietary trading in Exchange Traded Funds and Futures, the risks to which the firm is exposed are principally those of a fiduciary and operational in nature and</w:t>
      </w:r>
      <w:r>
        <w:rPr>
          <w:w w:val="110"/>
        </w:rPr>
        <w:t xml:space="preserve"> are managed according to the firm’s operational and compliance risk guidelines including its ethical standards.</w:t>
      </w:r>
    </w:p>
    <w:p w:rsidR="007F1F80" w:rsidRDefault="007F1F80">
      <w:pPr>
        <w:pStyle w:val="BodyText"/>
        <w:rPr>
          <w:sz w:val="20"/>
        </w:rPr>
      </w:pPr>
    </w:p>
    <w:p w:rsidR="007F1F80" w:rsidRDefault="007F1F80">
      <w:pPr>
        <w:pStyle w:val="BodyText"/>
        <w:spacing w:before="7"/>
        <w:rPr>
          <w:sz w:val="27"/>
        </w:rPr>
      </w:pPr>
    </w:p>
    <w:p w:rsidR="007F1F80" w:rsidRDefault="002250E9">
      <w:pPr>
        <w:pStyle w:val="BodyText"/>
        <w:ind w:left="212"/>
      </w:pPr>
      <w:r>
        <w:rPr>
          <w:w w:val="125"/>
        </w:rPr>
        <w:t>Risk management objectives and policies</w:t>
      </w:r>
    </w:p>
    <w:p w:rsidR="007F1F80" w:rsidRDefault="002250E9">
      <w:pPr>
        <w:pStyle w:val="BodyText"/>
        <w:spacing w:before="66" w:line="314" w:lineRule="auto"/>
        <w:ind w:left="212" w:right="166" w:firstLine="52"/>
        <w:jc w:val="both"/>
      </w:pPr>
      <w:r>
        <w:rPr>
          <w:w w:val="115"/>
        </w:rPr>
        <w:t xml:space="preserve">The Firm is governed by members who determine its business strategy and risk appetite. They are also </w:t>
      </w:r>
      <w:r>
        <w:rPr>
          <w:w w:val="115"/>
        </w:rPr>
        <w:t xml:space="preserve">responsible for establishing and maintaining the Firm’s governance arrangements along with designing and implementing a risk management framework that </w:t>
      </w:r>
      <w:proofErr w:type="spellStart"/>
      <w:r>
        <w:rPr>
          <w:w w:val="115"/>
        </w:rPr>
        <w:t>recognises</w:t>
      </w:r>
      <w:proofErr w:type="spellEnd"/>
      <w:r>
        <w:rPr>
          <w:w w:val="115"/>
        </w:rPr>
        <w:t xml:space="preserve"> the risks that the business</w:t>
      </w:r>
    </w:p>
    <w:p w:rsidR="007F1F80" w:rsidRDefault="007F1F80">
      <w:pPr>
        <w:spacing w:line="314" w:lineRule="auto"/>
        <w:jc w:val="both"/>
        <w:sectPr w:rsidR="007F1F80" w:rsidSect="00F73C93">
          <w:headerReference w:type="default" r:id="rId9"/>
          <w:type w:val="continuous"/>
          <w:pgSz w:w="12240" w:h="15840"/>
          <w:pgMar w:top="1440" w:right="1720" w:bottom="280" w:left="1660" w:header="678" w:footer="720" w:gutter="0"/>
          <w:cols w:space="720"/>
        </w:sectPr>
      </w:pPr>
    </w:p>
    <w:p w:rsidR="007F1F80" w:rsidRDefault="002250E9">
      <w:pPr>
        <w:pStyle w:val="BodyText"/>
        <w:spacing w:before="88" w:line="314" w:lineRule="auto"/>
        <w:ind w:left="212" w:right="161"/>
        <w:jc w:val="both"/>
      </w:pPr>
      <w:proofErr w:type="gramStart"/>
      <w:r>
        <w:rPr>
          <w:w w:val="115"/>
        </w:rPr>
        <w:lastRenderedPageBreak/>
        <w:t>faces</w:t>
      </w:r>
      <w:proofErr w:type="gramEnd"/>
      <w:r>
        <w:rPr>
          <w:w w:val="115"/>
        </w:rPr>
        <w:t xml:space="preserve">. The Members also determine how the risk our business faces may be mitigated and assess </w:t>
      </w:r>
      <w:proofErr w:type="gramStart"/>
      <w:r>
        <w:rPr>
          <w:w w:val="115"/>
        </w:rPr>
        <w:t>on  an</w:t>
      </w:r>
      <w:proofErr w:type="gramEnd"/>
      <w:r>
        <w:rPr>
          <w:w w:val="115"/>
        </w:rPr>
        <w:t xml:space="preserve"> ongoing basis the arrangements to manage those risks. </w:t>
      </w:r>
      <w:proofErr w:type="gramStart"/>
      <w:r>
        <w:rPr>
          <w:w w:val="115"/>
        </w:rPr>
        <w:t>The  Members</w:t>
      </w:r>
      <w:proofErr w:type="gramEnd"/>
      <w:r>
        <w:rPr>
          <w:w w:val="115"/>
        </w:rPr>
        <w:t xml:space="preserve"> meet  on  a regular  basis  and discuss current projections for profitability, cash flow</w:t>
      </w:r>
      <w:r>
        <w:rPr>
          <w:w w:val="115"/>
        </w:rPr>
        <w:t>, regulatory capital management, and business planning and risk management. The Members manage risks though a framework of policies and procedures having regard to relevant laws, standards, principles and rules (including FCA principles and rules) with the</w:t>
      </w:r>
      <w:r>
        <w:rPr>
          <w:w w:val="115"/>
        </w:rPr>
        <w:t xml:space="preserve"> aim to operate a defined and transparent risk management framework. These policies and procedures are updated as</w:t>
      </w:r>
      <w:r>
        <w:rPr>
          <w:spacing w:val="6"/>
          <w:w w:val="115"/>
        </w:rPr>
        <w:t xml:space="preserve"> </w:t>
      </w:r>
      <w:r>
        <w:rPr>
          <w:w w:val="115"/>
        </w:rPr>
        <w:t>required.</w:t>
      </w:r>
    </w:p>
    <w:p w:rsidR="007F1F80" w:rsidRDefault="007F1F80">
      <w:pPr>
        <w:pStyle w:val="BodyText"/>
        <w:spacing w:before="3"/>
        <w:rPr>
          <w:sz w:val="24"/>
        </w:rPr>
      </w:pPr>
    </w:p>
    <w:p w:rsidR="007F1F80" w:rsidRDefault="002250E9">
      <w:pPr>
        <w:pStyle w:val="BodyText"/>
        <w:spacing w:line="312" w:lineRule="auto"/>
        <w:ind w:left="212" w:right="169"/>
        <w:jc w:val="both"/>
      </w:pPr>
      <w:r>
        <w:rPr>
          <w:w w:val="115"/>
        </w:rPr>
        <w:t>The Members have identified that business, reputational, operational, market and credit risks are the main areas of risk to which t</w:t>
      </w:r>
      <w:r>
        <w:rPr>
          <w:w w:val="115"/>
        </w:rPr>
        <w:t>he Firm is exposed.</w:t>
      </w:r>
    </w:p>
    <w:p w:rsidR="007F1F80" w:rsidRDefault="002250E9">
      <w:pPr>
        <w:pStyle w:val="BodyText"/>
        <w:spacing w:before="4" w:line="314" w:lineRule="auto"/>
        <w:ind w:left="212" w:right="165"/>
        <w:jc w:val="both"/>
      </w:pPr>
      <w:r>
        <w:rPr>
          <w:w w:val="115"/>
        </w:rPr>
        <w:t>Annually</w:t>
      </w:r>
      <w:r>
        <w:rPr>
          <w:spacing w:val="-11"/>
          <w:w w:val="115"/>
        </w:rPr>
        <w:t xml:space="preserve"> </w:t>
      </w:r>
      <w:r>
        <w:rPr>
          <w:w w:val="115"/>
        </w:rPr>
        <w:t>the</w:t>
      </w:r>
      <w:r>
        <w:rPr>
          <w:spacing w:val="-7"/>
          <w:w w:val="115"/>
        </w:rPr>
        <w:t xml:space="preserve"> </w:t>
      </w:r>
      <w:r>
        <w:rPr>
          <w:w w:val="115"/>
        </w:rPr>
        <w:t>Members</w:t>
      </w:r>
      <w:r>
        <w:rPr>
          <w:spacing w:val="-7"/>
          <w:w w:val="115"/>
        </w:rPr>
        <w:t xml:space="preserve"> </w:t>
      </w:r>
      <w:r>
        <w:rPr>
          <w:w w:val="115"/>
        </w:rPr>
        <w:t>formally</w:t>
      </w:r>
      <w:r>
        <w:rPr>
          <w:spacing w:val="-7"/>
          <w:w w:val="115"/>
        </w:rPr>
        <w:t xml:space="preserve"> </w:t>
      </w:r>
      <w:r>
        <w:rPr>
          <w:w w:val="115"/>
        </w:rPr>
        <w:t>review</w:t>
      </w:r>
      <w:r>
        <w:rPr>
          <w:spacing w:val="-3"/>
          <w:w w:val="115"/>
        </w:rPr>
        <w:t xml:space="preserve"> </w:t>
      </w:r>
      <w:r>
        <w:rPr>
          <w:w w:val="115"/>
        </w:rPr>
        <w:t>their</w:t>
      </w:r>
      <w:r>
        <w:rPr>
          <w:spacing w:val="-10"/>
          <w:w w:val="115"/>
        </w:rPr>
        <w:t xml:space="preserve"> </w:t>
      </w:r>
      <w:r>
        <w:rPr>
          <w:w w:val="115"/>
        </w:rPr>
        <w:t>risks,</w:t>
      </w:r>
      <w:r>
        <w:rPr>
          <w:spacing w:val="-6"/>
          <w:w w:val="115"/>
        </w:rPr>
        <w:t xml:space="preserve"> </w:t>
      </w:r>
      <w:r>
        <w:rPr>
          <w:w w:val="115"/>
        </w:rPr>
        <w:t>controls</w:t>
      </w:r>
      <w:r>
        <w:rPr>
          <w:spacing w:val="-8"/>
          <w:w w:val="115"/>
        </w:rPr>
        <w:t xml:space="preserve"> </w:t>
      </w:r>
      <w:r>
        <w:rPr>
          <w:w w:val="115"/>
        </w:rPr>
        <w:t>and</w:t>
      </w:r>
      <w:r>
        <w:rPr>
          <w:spacing w:val="-7"/>
          <w:w w:val="115"/>
        </w:rPr>
        <w:t xml:space="preserve"> </w:t>
      </w:r>
      <w:r>
        <w:rPr>
          <w:w w:val="115"/>
        </w:rPr>
        <w:t>other</w:t>
      </w:r>
      <w:r>
        <w:rPr>
          <w:spacing w:val="-7"/>
          <w:w w:val="115"/>
        </w:rPr>
        <w:t xml:space="preserve"> </w:t>
      </w:r>
      <w:r>
        <w:rPr>
          <w:w w:val="115"/>
        </w:rPr>
        <w:t>risk</w:t>
      </w:r>
      <w:r>
        <w:rPr>
          <w:spacing w:val="-4"/>
          <w:w w:val="115"/>
        </w:rPr>
        <w:t xml:space="preserve"> </w:t>
      </w:r>
      <w:r>
        <w:rPr>
          <w:w w:val="115"/>
        </w:rPr>
        <w:t>mitigation</w:t>
      </w:r>
      <w:r>
        <w:rPr>
          <w:spacing w:val="-6"/>
          <w:w w:val="115"/>
        </w:rPr>
        <w:t xml:space="preserve"> </w:t>
      </w:r>
      <w:r>
        <w:rPr>
          <w:w w:val="115"/>
        </w:rPr>
        <w:t>arrangements</w:t>
      </w:r>
      <w:r>
        <w:rPr>
          <w:spacing w:val="-8"/>
          <w:w w:val="115"/>
        </w:rPr>
        <w:t xml:space="preserve"> </w:t>
      </w:r>
      <w:r>
        <w:rPr>
          <w:w w:val="115"/>
        </w:rPr>
        <w:t>and assess their effectiveness. Where the Members identify material risks they consider the financial impact of these risks as part of our</w:t>
      </w:r>
      <w:r>
        <w:rPr>
          <w:w w:val="115"/>
        </w:rPr>
        <w:t xml:space="preserve"> business planning and capital management and conclude whether the amount of regulatory capital is adequate. Their general objective is to develop systems and controls</w:t>
      </w:r>
      <w:r>
        <w:rPr>
          <w:spacing w:val="-5"/>
          <w:w w:val="115"/>
        </w:rPr>
        <w:t xml:space="preserve"> </w:t>
      </w:r>
      <w:r>
        <w:rPr>
          <w:w w:val="115"/>
        </w:rPr>
        <w:t>to</w:t>
      </w:r>
      <w:r>
        <w:rPr>
          <w:spacing w:val="-1"/>
          <w:w w:val="115"/>
        </w:rPr>
        <w:t xml:space="preserve"> </w:t>
      </w:r>
      <w:r>
        <w:rPr>
          <w:w w:val="115"/>
        </w:rPr>
        <w:t>mitigate</w:t>
      </w:r>
      <w:r>
        <w:rPr>
          <w:spacing w:val="-1"/>
          <w:w w:val="115"/>
        </w:rPr>
        <w:t xml:space="preserve"> </w:t>
      </w:r>
      <w:r>
        <w:rPr>
          <w:w w:val="115"/>
        </w:rPr>
        <w:t>risk</w:t>
      </w:r>
      <w:r>
        <w:rPr>
          <w:spacing w:val="-2"/>
          <w:w w:val="115"/>
        </w:rPr>
        <w:t xml:space="preserve"> </w:t>
      </w:r>
      <w:r>
        <w:rPr>
          <w:w w:val="115"/>
        </w:rPr>
        <w:t>to</w:t>
      </w:r>
      <w:r>
        <w:rPr>
          <w:spacing w:val="-4"/>
          <w:w w:val="115"/>
        </w:rPr>
        <w:t xml:space="preserve"> </w:t>
      </w:r>
      <w:r>
        <w:rPr>
          <w:w w:val="115"/>
        </w:rPr>
        <w:t>a</w:t>
      </w:r>
      <w:r>
        <w:rPr>
          <w:spacing w:val="-4"/>
          <w:w w:val="115"/>
        </w:rPr>
        <w:t xml:space="preserve"> </w:t>
      </w:r>
      <w:r>
        <w:rPr>
          <w:w w:val="115"/>
        </w:rPr>
        <w:t>level</w:t>
      </w:r>
      <w:r>
        <w:rPr>
          <w:spacing w:val="-5"/>
          <w:w w:val="115"/>
        </w:rPr>
        <w:t xml:space="preserve"> </w:t>
      </w:r>
      <w:r>
        <w:rPr>
          <w:w w:val="115"/>
        </w:rPr>
        <w:t>that</w:t>
      </w:r>
      <w:r>
        <w:rPr>
          <w:spacing w:val="-5"/>
          <w:w w:val="115"/>
        </w:rPr>
        <w:t xml:space="preserve"> </w:t>
      </w:r>
      <w:r>
        <w:rPr>
          <w:w w:val="115"/>
        </w:rPr>
        <w:t>does</w:t>
      </w:r>
      <w:r>
        <w:rPr>
          <w:spacing w:val="-5"/>
          <w:w w:val="115"/>
        </w:rPr>
        <w:t xml:space="preserve"> </w:t>
      </w:r>
      <w:r>
        <w:rPr>
          <w:w w:val="115"/>
        </w:rPr>
        <w:t>not</w:t>
      </w:r>
      <w:r>
        <w:rPr>
          <w:spacing w:val="-5"/>
          <w:w w:val="115"/>
        </w:rPr>
        <w:t xml:space="preserve"> </w:t>
      </w:r>
      <w:r>
        <w:rPr>
          <w:w w:val="115"/>
        </w:rPr>
        <w:t>require</w:t>
      </w:r>
      <w:r>
        <w:rPr>
          <w:spacing w:val="-2"/>
          <w:w w:val="115"/>
        </w:rPr>
        <w:t xml:space="preserve"> </w:t>
      </w:r>
      <w:r>
        <w:rPr>
          <w:w w:val="115"/>
        </w:rPr>
        <w:t>the</w:t>
      </w:r>
      <w:r>
        <w:rPr>
          <w:spacing w:val="-4"/>
          <w:w w:val="115"/>
        </w:rPr>
        <w:t xml:space="preserve"> </w:t>
      </w:r>
      <w:r>
        <w:rPr>
          <w:w w:val="115"/>
        </w:rPr>
        <w:t>allocation</w:t>
      </w:r>
      <w:r>
        <w:rPr>
          <w:spacing w:val="-1"/>
          <w:w w:val="115"/>
        </w:rPr>
        <w:t xml:space="preserve"> </w:t>
      </w:r>
      <w:r>
        <w:rPr>
          <w:w w:val="115"/>
        </w:rPr>
        <w:t>of</w:t>
      </w:r>
      <w:r>
        <w:rPr>
          <w:spacing w:val="-3"/>
          <w:w w:val="115"/>
        </w:rPr>
        <w:t xml:space="preserve"> </w:t>
      </w:r>
      <w:r>
        <w:rPr>
          <w:w w:val="115"/>
        </w:rPr>
        <w:t>Pillar</w:t>
      </w:r>
      <w:r>
        <w:rPr>
          <w:spacing w:val="-1"/>
          <w:w w:val="115"/>
        </w:rPr>
        <w:t xml:space="preserve"> </w:t>
      </w:r>
      <w:r>
        <w:rPr>
          <w:w w:val="115"/>
        </w:rPr>
        <w:t>2</w:t>
      </w:r>
      <w:r>
        <w:rPr>
          <w:spacing w:val="-1"/>
          <w:w w:val="115"/>
        </w:rPr>
        <w:t xml:space="preserve"> </w:t>
      </w:r>
      <w:r>
        <w:rPr>
          <w:w w:val="115"/>
        </w:rPr>
        <w:t>capital.</w:t>
      </w:r>
    </w:p>
    <w:p w:rsidR="007F1F80" w:rsidRDefault="007F1F80">
      <w:pPr>
        <w:pStyle w:val="BodyText"/>
        <w:spacing w:before="3"/>
        <w:rPr>
          <w:sz w:val="24"/>
        </w:rPr>
      </w:pPr>
    </w:p>
    <w:p w:rsidR="007F1F80" w:rsidRDefault="002250E9">
      <w:pPr>
        <w:pStyle w:val="BodyText"/>
        <w:ind w:left="263"/>
        <w:jc w:val="both"/>
      </w:pPr>
      <w:r>
        <w:rPr>
          <w:w w:val="125"/>
        </w:rPr>
        <w:t>Capital Resources</w:t>
      </w:r>
    </w:p>
    <w:p w:rsidR="007F1F80" w:rsidRDefault="002250E9">
      <w:pPr>
        <w:pStyle w:val="BodyText"/>
        <w:spacing w:before="64" w:line="314" w:lineRule="auto"/>
        <w:ind w:left="212" w:right="166"/>
        <w:jc w:val="both"/>
      </w:pPr>
      <w:r>
        <w:rPr>
          <w:w w:val="115"/>
        </w:rPr>
        <w:t xml:space="preserve">The Capital resources of the firm are made up of the member’s capital and the Profit and </w:t>
      </w:r>
      <w:proofErr w:type="gramStart"/>
      <w:r>
        <w:rPr>
          <w:w w:val="115"/>
        </w:rPr>
        <w:t>Loss  reserve</w:t>
      </w:r>
      <w:proofErr w:type="gramEnd"/>
      <w:r>
        <w:rPr>
          <w:w w:val="115"/>
        </w:rPr>
        <w:t xml:space="preserve"> account. </w:t>
      </w:r>
      <w:proofErr w:type="gramStart"/>
      <w:r>
        <w:rPr>
          <w:w w:val="115"/>
        </w:rPr>
        <w:t>Where applicable, current year losses are also taken into account.</w:t>
      </w:r>
      <w:proofErr w:type="gramEnd"/>
      <w:r>
        <w:rPr>
          <w:w w:val="115"/>
        </w:rPr>
        <w:t xml:space="preserve"> The capital therefore all qualifies as Tier 1</w:t>
      </w:r>
      <w:r>
        <w:rPr>
          <w:spacing w:val="-2"/>
          <w:w w:val="115"/>
        </w:rPr>
        <w:t xml:space="preserve"> </w:t>
      </w:r>
      <w:r>
        <w:rPr>
          <w:w w:val="115"/>
        </w:rPr>
        <w:t>capital.</w:t>
      </w:r>
    </w:p>
    <w:p w:rsidR="007F1F80" w:rsidRDefault="007F1F80">
      <w:pPr>
        <w:pStyle w:val="BodyText"/>
        <w:spacing w:before="5"/>
        <w:rPr>
          <w:sz w:val="23"/>
        </w:rPr>
      </w:pPr>
    </w:p>
    <w:p w:rsidR="007F1F80" w:rsidRDefault="002250E9">
      <w:pPr>
        <w:pStyle w:val="BodyText"/>
        <w:spacing w:line="316" w:lineRule="auto"/>
        <w:ind w:left="212" w:right="165"/>
        <w:jc w:val="both"/>
      </w:pPr>
      <w:r>
        <w:rPr>
          <w:w w:val="115"/>
        </w:rPr>
        <w:t>Und</w:t>
      </w:r>
      <w:r>
        <w:rPr>
          <w:w w:val="115"/>
        </w:rPr>
        <w:t>er the 4</w:t>
      </w:r>
      <w:proofErr w:type="spellStart"/>
      <w:r>
        <w:rPr>
          <w:w w:val="115"/>
          <w:position w:val="6"/>
          <w:sz w:val="12"/>
        </w:rPr>
        <w:t>th</w:t>
      </w:r>
      <w:proofErr w:type="spellEnd"/>
      <w:r>
        <w:rPr>
          <w:w w:val="115"/>
          <w:position w:val="6"/>
          <w:sz w:val="12"/>
        </w:rPr>
        <w:t xml:space="preserve"> </w:t>
      </w:r>
      <w:r>
        <w:rPr>
          <w:w w:val="115"/>
        </w:rPr>
        <w:t>iteration of the Capital Requirements Directive (“CRD IV”) the capital requirements of</w:t>
      </w:r>
      <w:r>
        <w:rPr>
          <w:spacing w:val="-34"/>
          <w:w w:val="115"/>
        </w:rPr>
        <w:t xml:space="preserve"> </w:t>
      </w:r>
      <w:r>
        <w:rPr>
          <w:w w:val="115"/>
        </w:rPr>
        <w:t xml:space="preserve">a firm such as Bluefin are determined according to the risk weighted assets of the firm. CRD IV allows the use of a </w:t>
      </w:r>
      <w:proofErr w:type="spellStart"/>
      <w:r>
        <w:rPr>
          <w:w w:val="115"/>
        </w:rPr>
        <w:t>standardised</w:t>
      </w:r>
      <w:proofErr w:type="spellEnd"/>
      <w:r>
        <w:rPr>
          <w:w w:val="115"/>
        </w:rPr>
        <w:t xml:space="preserve"> approach and an advanced appr</w:t>
      </w:r>
      <w:r>
        <w:rPr>
          <w:w w:val="115"/>
        </w:rPr>
        <w:t xml:space="preserve">oach to calculating risk weighted assets. </w:t>
      </w:r>
      <w:proofErr w:type="spellStart"/>
      <w:r>
        <w:rPr>
          <w:w w:val="115"/>
        </w:rPr>
        <w:t>Standardised</w:t>
      </w:r>
      <w:proofErr w:type="spellEnd"/>
      <w:r>
        <w:rPr>
          <w:w w:val="115"/>
        </w:rPr>
        <w:t xml:space="preserve"> approaches use supervisory risk-weightings as opposed to the </w:t>
      </w:r>
      <w:proofErr w:type="gramStart"/>
      <w:r>
        <w:rPr>
          <w:w w:val="115"/>
        </w:rPr>
        <w:t>advanced  approach</w:t>
      </w:r>
      <w:proofErr w:type="gramEnd"/>
      <w:r>
        <w:rPr>
          <w:w w:val="115"/>
        </w:rPr>
        <w:t xml:space="preserve">  which allows for the use of internal</w:t>
      </w:r>
      <w:r>
        <w:rPr>
          <w:spacing w:val="3"/>
          <w:w w:val="115"/>
        </w:rPr>
        <w:t xml:space="preserve"> </w:t>
      </w:r>
      <w:r>
        <w:rPr>
          <w:w w:val="115"/>
        </w:rPr>
        <w:t>models.</w:t>
      </w:r>
    </w:p>
    <w:p w:rsidR="007F1F80" w:rsidRDefault="007F1F80">
      <w:pPr>
        <w:pStyle w:val="BodyText"/>
        <w:spacing w:before="8"/>
        <w:rPr>
          <w:sz w:val="22"/>
        </w:rPr>
      </w:pPr>
    </w:p>
    <w:p w:rsidR="007F1F80" w:rsidRDefault="002250E9">
      <w:pPr>
        <w:ind w:left="212"/>
        <w:jc w:val="both"/>
        <w:rPr>
          <w:sz w:val="17"/>
        </w:rPr>
      </w:pPr>
      <w:r>
        <w:rPr>
          <w:w w:val="110"/>
          <w:sz w:val="17"/>
        </w:rPr>
        <w:t xml:space="preserve">The main features of the Firm’s capital resources for regulatory purposes </w:t>
      </w:r>
      <w:r>
        <w:rPr>
          <w:w w:val="110"/>
          <w:sz w:val="17"/>
        </w:rPr>
        <w:t>are as follows:</w:t>
      </w:r>
    </w:p>
    <w:p w:rsidR="007F1F80" w:rsidRDefault="007F1F80">
      <w:pPr>
        <w:pStyle w:val="BodyText"/>
        <w:spacing w:before="7"/>
        <w:rPr>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7"/>
        <w:gridCol w:w="1914"/>
      </w:tblGrid>
      <w:tr w:rsidR="007F1F80">
        <w:trPr>
          <w:trHeight w:val="290"/>
        </w:trPr>
        <w:tc>
          <w:tcPr>
            <w:tcW w:w="6097" w:type="dxa"/>
          </w:tcPr>
          <w:p w:rsidR="007F1F80" w:rsidRDefault="002250E9">
            <w:pPr>
              <w:pStyle w:val="TableParagraph"/>
              <w:spacing w:line="194" w:lineRule="exact"/>
              <w:ind w:left="100"/>
              <w:rPr>
                <w:sz w:val="17"/>
              </w:rPr>
            </w:pPr>
            <w:r>
              <w:rPr>
                <w:w w:val="115"/>
                <w:sz w:val="17"/>
              </w:rPr>
              <w:t>Regulator</w:t>
            </w:r>
            <w:r w:rsidR="00815841">
              <w:rPr>
                <w:w w:val="115"/>
                <w:sz w:val="17"/>
              </w:rPr>
              <w:t>y capital as at 31 December 2018</w:t>
            </w:r>
          </w:p>
        </w:tc>
        <w:tc>
          <w:tcPr>
            <w:tcW w:w="1914" w:type="dxa"/>
          </w:tcPr>
          <w:p w:rsidR="007F1F80" w:rsidRDefault="002250E9">
            <w:pPr>
              <w:pStyle w:val="TableParagraph"/>
              <w:spacing w:line="194" w:lineRule="exact"/>
              <w:ind w:right="94"/>
              <w:jc w:val="right"/>
              <w:rPr>
                <w:sz w:val="17"/>
              </w:rPr>
            </w:pPr>
            <w:r>
              <w:rPr>
                <w:sz w:val="17"/>
              </w:rPr>
              <w:t>USD(‘000)</w:t>
            </w:r>
          </w:p>
        </w:tc>
      </w:tr>
      <w:tr w:rsidR="007F1F80">
        <w:trPr>
          <w:trHeight w:val="292"/>
        </w:trPr>
        <w:tc>
          <w:tcPr>
            <w:tcW w:w="6097" w:type="dxa"/>
          </w:tcPr>
          <w:p w:rsidR="007F1F80" w:rsidRDefault="002250E9">
            <w:pPr>
              <w:pStyle w:val="TableParagraph"/>
              <w:spacing w:line="194" w:lineRule="exact"/>
              <w:ind w:left="100"/>
              <w:rPr>
                <w:sz w:val="17"/>
              </w:rPr>
            </w:pPr>
            <w:r>
              <w:rPr>
                <w:w w:val="105"/>
                <w:sz w:val="17"/>
              </w:rPr>
              <w:t>Total tier 1</w:t>
            </w:r>
          </w:p>
        </w:tc>
        <w:tc>
          <w:tcPr>
            <w:tcW w:w="1914" w:type="dxa"/>
          </w:tcPr>
          <w:p w:rsidR="007F1F80" w:rsidRDefault="00BD62E4">
            <w:pPr>
              <w:pStyle w:val="TableParagraph"/>
              <w:spacing w:line="194" w:lineRule="exact"/>
              <w:ind w:right="91"/>
              <w:jc w:val="right"/>
              <w:rPr>
                <w:sz w:val="17"/>
              </w:rPr>
            </w:pPr>
            <w:r>
              <w:rPr>
                <w:w w:val="110"/>
                <w:sz w:val="17"/>
              </w:rPr>
              <w:t>17,953</w:t>
            </w:r>
          </w:p>
        </w:tc>
      </w:tr>
      <w:tr w:rsidR="007F1F80">
        <w:trPr>
          <w:trHeight w:val="290"/>
        </w:trPr>
        <w:tc>
          <w:tcPr>
            <w:tcW w:w="6097" w:type="dxa"/>
          </w:tcPr>
          <w:p w:rsidR="007F1F80" w:rsidRDefault="002250E9">
            <w:pPr>
              <w:pStyle w:val="TableParagraph"/>
              <w:spacing w:line="194" w:lineRule="exact"/>
              <w:ind w:left="100"/>
              <w:rPr>
                <w:sz w:val="17"/>
              </w:rPr>
            </w:pPr>
            <w:r>
              <w:rPr>
                <w:w w:val="105"/>
                <w:sz w:val="17"/>
              </w:rPr>
              <w:t>Total tier 2 capital</w:t>
            </w:r>
          </w:p>
        </w:tc>
        <w:tc>
          <w:tcPr>
            <w:tcW w:w="1914" w:type="dxa"/>
          </w:tcPr>
          <w:p w:rsidR="007F1F80" w:rsidRDefault="007F1F80">
            <w:pPr>
              <w:pStyle w:val="TableParagraph"/>
              <w:rPr>
                <w:sz w:val="18"/>
              </w:rPr>
            </w:pPr>
          </w:p>
        </w:tc>
      </w:tr>
      <w:tr w:rsidR="007F1F80">
        <w:trPr>
          <w:trHeight w:val="292"/>
        </w:trPr>
        <w:tc>
          <w:tcPr>
            <w:tcW w:w="6097" w:type="dxa"/>
          </w:tcPr>
          <w:p w:rsidR="007F1F80" w:rsidRDefault="002250E9">
            <w:pPr>
              <w:pStyle w:val="TableParagraph"/>
              <w:ind w:left="100"/>
              <w:rPr>
                <w:sz w:val="17"/>
              </w:rPr>
            </w:pPr>
            <w:r>
              <w:rPr>
                <w:w w:val="105"/>
                <w:sz w:val="17"/>
              </w:rPr>
              <w:t>Total tier 3 capital</w:t>
            </w:r>
          </w:p>
        </w:tc>
        <w:tc>
          <w:tcPr>
            <w:tcW w:w="1914" w:type="dxa"/>
          </w:tcPr>
          <w:p w:rsidR="007F1F80" w:rsidRDefault="007F1F80">
            <w:pPr>
              <w:pStyle w:val="TableParagraph"/>
              <w:rPr>
                <w:sz w:val="18"/>
              </w:rPr>
            </w:pPr>
          </w:p>
        </w:tc>
      </w:tr>
      <w:tr w:rsidR="007F1F80">
        <w:trPr>
          <w:trHeight w:val="290"/>
        </w:trPr>
        <w:tc>
          <w:tcPr>
            <w:tcW w:w="6097" w:type="dxa"/>
          </w:tcPr>
          <w:p w:rsidR="007F1F80" w:rsidRDefault="002250E9">
            <w:pPr>
              <w:pStyle w:val="TableParagraph"/>
              <w:spacing w:line="194" w:lineRule="exact"/>
              <w:ind w:left="100"/>
              <w:rPr>
                <w:sz w:val="17"/>
              </w:rPr>
            </w:pPr>
            <w:r>
              <w:rPr>
                <w:w w:val="110"/>
                <w:sz w:val="17"/>
              </w:rPr>
              <w:t>Deductions from Tier 1 and Tier 2</w:t>
            </w:r>
          </w:p>
        </w:tc>
        <w:tc>
          <w:tcPr>
            <w:tcW w:w="1914" w:type="dxa"/>
          </w:tcPr>
          <w:p w:rsidR="007F1F80" w:rsidRDefault="007F1F80">
            <w:pPr>
              <w:pStyle w:val="TableParagraph"/>
              <w:rPr>
                <w:sz w:val="18"/>
              </w:rPr>
            </w:pPr>
          </w:p>
        </w:tc>
      </w:tr>
      <w:tr w:rsidR="007F1F80">
        <w:trPr>
          <w:trHeight w:val="292"/>
        </w:trPr>
        <w:tc>
          <w:tcPr>
            <w:tcW w:w="6097" w:type="dxa"/>
          </w:tcPr>
          <w:p w:rsidR="007F1F80" w:rsidRDefault="007F1F80">
            <w:pPr>
              <w:pStyle w:val="TableParagraph"/>
              <w:rPr>
                <w:sz w:val="18"/>
              </w:rPr>
            </w:pPr>
          </w:p>
        </w:tc>
        <w:tc>
          <w:tcPr>
            <w:tcW w:w="1914" w:type="dxa"/>
          </w:tcPr>
          <w:p w:rsidR="007F1F80" w:rsidRDefault="007F1F80">
            <w:pPr>
              <w:pStyle w:val="TableParagraph"/>
              <w:rPr>
                <w:sz w:val="18"/>
              </w:rPr>
            </w:pPr>
          </w:p>
        </w:tc>
      </w:tr>
      <w:tr w:rsidR="007F1F80">
        <w:trPr>
          <w:trHeight w:val="370"/>
        </w:trPr>
        <w:tc>
          <w:tcPr>
            <w:tcW w:w="6097" w:type="dxa"/>
          </w:tcPr>
          <w:p w:rsidR="007F1F80" w:rsidRDefault="002250E9">
            <w:pPr>
              <w:pStyle w:val="TableParagraph"/>
              <w:spacing w:before="77"/>
              <w:ind w:left="100"/>
              <w:rPr>
                <w:sz w:val="17"/>
              </w:rPr>
            </w:pPr>
            <w:r>
              <w:rPr>
                <w:w w:val="110"/>
                <w:sz w:val="17"/>
              </w:rPr>
              <w:t>Total Capital Resources</w:t>
            </w:r>
          </w:p>
        </w:tc>
        <w:tc>
          <w:tcPr>
            <w:tcW w:w="1914" w:type="dxa"/>
          </w:tcPr>
          <w:p w:rsidR="007F1F80" w:rsidRDefault="00BD62E4">
            <w:pPr>
              <w:pStyle w:val="TableParagraph"/>
              <w:spacing w:before="77"/>
              <w:ind w:right="92"/>
              <w:jc w:val="right"/>
              <w:rPr>
                <w:sz w:val="17"/>
              </w:rPr>
            </w:pPr>
            <w:r>
              <w:rPr>
                <w:w w:val="110"/>
                <w:sz w:val="17"/>
              </w:rPr>
              <w:t>17,953</w:t>
            </w:r>
          </w:p>
        </w:tc>
      </w:tr>
    </w:tbl>
    <w:p w:rsidR="007F1F80" w:rsidRDefault="007F1F80">
      <w:pPr>
        <w:pStyle w:val="BodyText"/>
      </w:pPr>
    </w:p>
    <w:p w:rsidR="007F1F80" w:rsidRDefault="007F1F80">
      <w:pPr>
        <w:pStyle w:val="BodyText"/>
        <w:spacing w:before="2"/>
        <w:rPr>
          <w:sz w:val="25"/>
        </w:rPr>
      </w:pPr>
    </w:p>
    <w:p w:rsidR="007F1F80" w:rsidRDefault="002250E9">
      <w:pPr>
        <w:pStyle w:val="BodyText"/>
        <w:ind w:left="212"/>
        <w:jc w:val="both"/>
      </w:pPr>
      <w:r>
        <w:rPr>
          <w:w w:val="125"/>
        </w:rPr>
        <w:t>Risk Weighted Assets</w:t>
      </w:r>
    </w:p>
    <w:p w:rsidR="007F1F80" w:rsidRDefault="007F1F80">
      <w:pPr>
        <w:pStyle w:val="BodyText"/>
        <w:spacing w:before="4"/>
        <w:rPr>
          <w:sz w:val="29"/>
        </w:rPr>
      </w:pPr>
    </w:p>
    <w:p w:rsidR="007F1F80" w:rsidRDefault="002250E9">
      <w:pPr>
        <w:pStyle w:val="BodyText"/>
        <w:spacing w:line="314" w:lineRule="auto"/>
        <w:ind w:left="212" w:right="165"/>
        <w:jc w:val="both"/>
      </w:pPr>
      <w:r>
        <w:rPr>
          <w:w w:val="115"/>
        </w:rPr>
        <w:t>The Firm is relatively small with a simple operational infrastructure. The firm has market risk exposures due to the net positions it holds on its bala</w:t>
      </w:r>
      <w:r w:rsidR="00BD62E4">
        <w:rPr>
          <w:w w:val="115"/>
        </w:rPr>
        <w:t xml:space="preserve">nce sheet and exposures due to </w:t>
      </w:r>
      <w:r>
        <w:rPr>
          <w:w w:val="115"/>
        </w:rPr>
        <w:t xml:space="preserve">foreign exchange. The firm actively hedges its positions but, as it uses </w:t>
      </w:r>
      <w:r w:rsidR="00BD62E4">
        <w:rPr>
          <w:w w:val="115"/>
        </w:rPr>
        <w:t xml:space="preserve">the </w:t>
      </w:r>
      <w:proofErr w:type="spellStart"/>
      <w:r w:rsidR="00BD62E4">
        <w:rPr>
          <w:w w:val="115"/>
        </w:rPr>
        <w:t>standardised</w:t>
      </w:r>
      <w:proofErr w:type="spellEnd"/>
      <w:r w:rsidR="00BD62E4">
        <w:rPr>
          <w:w w:val="115"/>
        </w:rPr>
        <w:t xml:space="preserve"> approach </w:t>
      </w:r>
      <w:r>
        <w:rPr>
          <w:w w:val="115"/>
        </w:rPr>
        <w:t>to calculate risk weighted assets it is possible the hedges the firm has put in place actually increase the risk weighted assets as the conditions that must be met to offset risks are very</w:t>
      </w:r>
      <w:r>
        <w:rPr>
          <w:spacing w:val="13"/>
          <w:w w:val="115"/>
        </w:rPr>
        <w:t xml:space="preserve"> </w:t>
      </w:r>
      <w:r>
        <w:rPr>
          <w:w w:val="115"/>
        </w:rPr>
        <w:t>specific.</w:t>
      </w:r>
    </w:p>
    <w:p w:rsidR="007F1F80" w:rsidRDefault="007F1F80">
      <w:pPr>
        <w:spacing w:line="314" w:lineRule="auto"/>
        <w:jc w:val="both"/>
        <w:sectPr w:rsidR="007F1F80" w:rsidSect="00F73C93">
          <w:pgSz w:w="12240" w:h="15840"/>
          <w:pgMar w:top="1440" w:right="1720" w:bottom="280" w:left="1660" w:header="678" w:footer="0" w:gutter="0"/>
          <w:cols w:space="720"/>
        </w:sectPr>
      </w:pPr>
    </w:p>
    <w:p w:rsidR="007F1F80" w:rsidRDefault="002250E9">
      <w:pPr>
        <w:pStyle w:val="BodyText"/>
        <w:spacing w:before="88" w:line="314" w:lineRule="auto"/>
        <w:ind w:left="212" w:right="166"/>
        <w:jc w:val="both"/>
      </w:pPr>
      <w:r>
        <w:rPr>
          <w:w w:val="115"/>
        </w:rPr>
        <w:lastRenderedPageBreak/>
        <w:t>The Firm has credit exposure on margins held at clearing houses and cash held at credit institutions and, due to the way the rule works, on all other assets on its balance sheet. In accordance with the rules, the Firm’s operational risk requirement is a fu</w:t>
      </w:r>
      <w:r>
        <w:rPr>
          <w:w w:val="115"/>
        </w:rPr>
        <w:t>nction of its operating expenses.</w:t>
      </w:r>
    </w:p>
    <w:p w:rsidR="007F1F80" w:rsidRDefault="007F1F80">
      <w:pPr>
        <w:pStyle w:val="BodyText"/>
        <w:rPr>
          <w:sz w:val="24"/>
        </w:rPr>
      </w:pPr>
    </w:p>
    <w:p w:rsidR="007F1F80" w:rsidRDefault="002250E9">
      <w:pPr>
        <w:pStyle w:val="BodyText"/>
        <w:ind w:left="212"/>
      </w:pPr>
      <w:r>
        <w:rPr>
          <w:w w:val="115"/>
        </w:rPr>
        <w:t>As at the year-end the risk weighed assets of the firm amounted to:</w:t>
      </w:r>
    </w:p>
    <w:p w:rsidR="007F1F80" w:rsidRDefault="007F1F80">
      <w:pPr>
        <w:pStyle w:val="BodyText"/>
        <w:spacing w:before="6" w:after="1"/>
        <w:rPr>
          <w:sz w:val="28"/>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2"/>
        <w:gridCol w:w="1841"/>
      </w:tblGrid>
      <w:tr w:rsidR="007F1F80">
        <w:trPr>
          <w:trHeight w:val="352"/>
        </w:trPr>
        <w:tc>
          <w:tcPr>
            <w:tcW w:w="5862" w:type="dxa"/>
          </w:tcPr>
          <w:p w:rsidR="007F1F80" w:rsidRDefault="002250E9">
            <w:pPr>
              <w:pStyle w:val="TableParagraph"/>
              <w:spacing w:before="62"/>
              <w:ind w:left="100"/>
              <w:rPr>
                <w:sz w:val="17"/>
              </w:rPr>
            </w:pPr>
            <w:r>
              <w:rPr>
                <w:w w:val="120"/>
                <w:sz w:val="17"/>
              </w:rPr>
              <w:t>Risk Weight</w:t>
            </w:r>
            <w:r w:rsidR="00815841">
              <w:rPr>
                <w:w w:val="120"/>
                <w:sz w:val="17"/>
              </w:rPr>
              <w:t>ed Assets as at 31 December 2018</w:t>
            </w:r>
          </w:p>
        </w:tc>
        <w:tc>
          <w:tcPr>
            <w:tcW w:w="1841" w:type="dxa"/>
          </w:tcPr>
          <w:p w:rsidR="007F1F80" w:rsidRDefault="002250E9">
            <w:pPr>
              <w:pStyle w:val="TableParagraph"/>
              <w:spacing w:before="62"/>
              <w:ind w:right="100"/>
              <w:jc w:val="right"/>
              <w:rPr>
                <w:sz w:val="17"/>
              </w:rPr>
            </w:pPr>
            <w:r>
              <w:rPr>
                <w:w w:val="105"/>
                <w:sz w:val="17"/>
              </w:rPr>
              <w:t>USD (000)</w:t>
            </w:r>
          </w:p>
        </w:tc>
      </w:tr>
      <w:tr w:rsidR="007F1F80">
        <w:trPr>
          <w:trHeight w:val="352"/>
        </w:trPr>
        <w:tc>
          <w:tcPr>
            <w:tcW w:w="5862" w:type="dxa"/>
          </w:tcPr>
          <w:p w:rsidR="007F1F80" w:rsidRDefault="002250E9">
            <w:pPr>
              <w:pStyle w:val="TableParagraph"/>
              <w:spacing w:before="62"/>
              <w:ind w:left="100"/>
              <w:rPr>
                <w:sz w:val="17"/>
              </w:rPr>
            </w:pPr>
            <w:r>
              <w:rPr>
                <w:w w:val="105"/>
                <w:sz w:val="17"/>
              </w:rPr>
              <w:t>Market Risk</w:t>
            </w:r>
          </w:p>
        </w:tc>
        <w:tc>
          <w:tcPr>
            <w:tcW w:w="1841" w:type="dxa"/>
          </w:tcPr>
          <w:p w:rsidR="007F1F80" w:rsidRDefault="002A59E4">
            <w:pPr>
              <w:pStyle w:val="TableParagraph"/>
              <w:spacing w:before="62"/>
              <w:ind w:right="96"/>
              <w:jc w:val="right"/>
              <w:rPr>
                <w:sz w:val="17"/>
              </w:rPr>
            </w:pPr>
            <w:r>
              <w:rPr>
                <w:w w:val="110"/>
                <w:sz w:val="17"/>
              </w:rPr>
              <w:t>1,109</w:t>
            </w:r>
            <w:r w:rsidR="002250E9">
              <w:rPr>
                <w:w w:val="110"/>
                <w:sz w:val="17"/>
              </w:rPr>
              <w:t xml:space="preserve"> </w:t>
            </w:r>
            <w:r w:rsidR="002250E9">
              <w:rPr>
                <w:w w:val="110"/>
                <w:sz w:val="17"/>
              </w:rPr>
              <w:t>USD</w:t>
            </w:r>
          </w:p>
        </w:tc>
      </w:tr>
      <w:tr w:rsidR="007F1F80">
        <w:trPr>
          <w:trHeight w:val="354"/>
        </w:trPr>
        <w:tc>
          <w:tcPr>
            <w:tcW w:w="5862" w:type="dxa"/>
          </w:tcPr>
          <w:p w:rsidR="007F1F80" w:rsidRDefault="002250E9">
            <w:pPr>
              <w:pStyle w:val="TableParagraph"/>
              <w:spacing w:before="62"/>
              <w:ind w:left="100"/>
              <w:rPr>
                <w:sz w:val="17"/>
              </w:rPr>
            </w:pPr>
            <w:r>
              <w:rPr>
                <w:w w:val="105"/>
                <w:sz w:val="17"/>
              </w:rPr>
              <w:t>Credit Risk</w:t>
            </w:r>
          </w:p>
        </w:tc>
        <w:tc>
          <w:tcPr>
            <w:tcW w:w="1841" w:type="dxa"/>
          </w:tcPr>
          <w:p w:rsidR="007F1F80" w:rsidRDefault="00815841">
            <w:pPr>
              <w:pStyle w:val="TableParagraph"/>
              <w:spacing w:before="62"/>
              <w:ind w:right="96"/>
              <w:jc w:val="right"/>
              <w:rPr>
                <w:sz w:val="17"/>
              </w:rPr>
            </w:pPr>
            <w:r>
              <w:rPr>
                <w:w w:val="110"/>
                <w:sz w:val="17"/>
              </w:rPr>
              <w:t>5,128</w:t>
            </w:r>
            <w:r w:rsidR="002250E9">
              <w:rPr>
                <w:w w:val="110"/>
                <w:sz w:val="17"/>
              </w:rPr>
              <w:t xml:space="preserve"> USD</w:t>
            </w:r>
          </w:p>
        </w:tc>
      </w:tr>
      <w:tr w:rsidR="007F1F80">
        <w:trPr>
          <w:trHeight w:val="354"/>
        </w:trPr>
        <w:tc>
          <w:tcPr>
            <w:tcW w:w="5862" w:type="dxa"/>
          </w:tcPr>
          <w:p w:rsidR="007F1F80" w:rsidRDefault="002250E9">
            <w:pPr>
              <w:pStyle w:val="TableParagraph"/>
              <w:spacing w:before="62"/>
              <w:ind w:left="100"/>
              <w:rPr>
                <w:sz w:val="17"/>
              </w:rPr>
            </w:pPr>
            <w:r>
              <w:rPr>
                <w:w w:val="105"/>
                <w:sz w:val="17"/>
              </w:rPr>
              <w:t>Operational Risk</w:t>
            </w:r>
          </w:p>
        </w:tc>
        <w:tc>
          <w:tcPr>
            <w:tcW w:w="1841" w:type="dxa"/>
          </w:tcPr>
          <w:p w:rsidR="007F1F80" w:rsidRDefault="002A59E4">
            <w:pPr>
              <w:pStyle w:val="TableParagraph"/>
              <w:spacing w:before="62"/>
              <w:ind w:right="97"/>
              <w:jc w:val="right"/>
              <w:rPr>
                <w:sz w:val="17"/>
              </w:rPr>
            </w:pPr>
            <w:r>
              <w:rPr>
                <w:w w:val="110"/>
                <w:sz w:val="17"/>
              </w:rPr>
              <w:t>1,434</w:t>
            </w:r>
            <w:r w:rsidR="002250E9">
              <w:rPr>
                <w:w w:val="110"/>
                <w:sz w:val="17"/>
              </w:rPr>
              <w:t xml:space="preserve"> USD</w:t>
            </w:r>
          </w:p>
        </w:tc>
      </w:tr>
      <w:tr w:rsidR="007F1F80">
        <w:trPr>
          <w:trHeight w:val="352"/>
        </w:trPr>
        <w:tc>
          <w:tcPr>
            <w:tcW w:w="5862" w:type="dxa"/>
          </w:tcPr>
          <w:p w:rsidR="007F1F80" w:rsidRDefault="002250E9">
            <w:pPr>
              <w:pStyle w:val="TableParagraph"/>
              <w:spacing w:before="62"/>
              <w:ind w:left="100"/>
              <w:rPr>
                <w:sz w:val="17"/>
              </w:rPr>
            </w:pPr>
            <w:r>
              <w:rPr>
                <w:w w:val="105"/>
                <w:sz w:val="17"/>
              </w:rPr>
              <w:t>Total Risk Weighted Assets</w:t>
            </w:r>
          </w:p>
        </w:tc>
        <w:tc>
          <w:tcPr>
            <w:tcW w:w="1841" w:type="dxa"/>
          </w:tcPr>
          <w:p w:rsidR="007F1F80" w:rsidRDefault="002A59E4">
            <w:pPr>
              <w:pStyle w:val="TableParagraph"/>
              <w:spacing w:before="62"/>
              <w:ind w:right="96"/>
              <w:jc w:val="right"/>
              <w:rPr>
                <w:sz w:val="17"/>
              </w:rPr>
            </w:pPr>
            <w:r>
              <w:rPr>
                <w:w w:val="110"/>
                <w:sz w:val="17"/>
              </w:rPr>
              <w:t>7,671</w:t>
            </w:r>
            <w:r w:rsidR="002250E9">
              <w:rPr>
                <w:w w:val="110"/>
                <w:sz w:val="17"/>
              </w:rPr>
              <w:t xml:space="preserve"> </w:t>
            </w:r>
            <w:r w:rsidR="002250E9">
              <w:rPr>
                <w:w w:val="110"/>
                <w:sz w:val="17"/>
              </w:rPr>
              <w:t>USD</w:t>
            </w:r>
          </w:p>
        </w:tc>
      </w:tr>
      <w:tr w:rsidR="007F1F80">
        <w:trPr>
          <w:trHeight w:val="354"/>
        </w:trPr>
        <w:tc>
          <w:tcPr>
            <w:tcW w:w="5862" w:type="dxa"/>
          </w:tcPr>
          <w:p w:rsidR="007F1F80" w:rsidRDefault="007F1F80">
            <w:pPr>
              <w:pStyle w:val="TableParagraph"/>
              <w:rPr>
                <w:sz w:val="18"/>
              </w:rPr>
            </w:pPr>
          </w:p>
        </w:tc>
        <w:tc>
          <w:tcPr>
            <w:tcW w:w="1841" w:type="dxa"/>
          </w:tcPr>
          <w:p w:rsidR="007F1F80" w:rsidRDefault="007F1F80">
            <w:pPr>
              <w:pStyle w:val="TableParagraph"/>
              <w:rPr>
                <w:sz w:val="18"/>
              </w:rPr>
            </w:pPr>
          </w:p>
        </w:tc>
      </w:tr>
      <w:tr w:rsidR="007F1F80">
        <w:trPr>
          <w:trHeight w:val="429"/>
        </w:trPr>
        <w:tc>
          <w:tcPr>
            <w:tcW w:w="5862" w:type="dxa"/>
          </w:tcPr>
          <w:p w:rsidR="007F1F80" w:rsidRDefault="002250E9">
            <w:pPr>
              <w:pStyle w:val="TableParagraph"/>
              <w:spacing w:before="138"/>
              <w:ind w:left="100"/>
              <w:rPr>
                <w:sz w:val="17"/>
              </w:rPr>
            </w:pPr>
            <w:r>
              <w:rPr>
                <w:w w:val="105"/>
                <w:sz w:val="17"/>
              </w:rPr>
              <w:t>Capital Ratio</w:t>
            </w:r>
          </w:p>
        </w:tc>
        <w:tc>
          <w:tcPr>
            <w:tcW w:w="1841" w:type="dxa"/>
          </w:tcPr>
          <w:p w:rsidR="007F1F80" w:rsidRDefault="002A59E4">
            <w:pPr>
              <w:pStyle w:val="TableParagraph"/>
              <w:spacing w:before="138"/>
              <w:ind w:right="97"/>
              <w:jc w:val="right"/>
              <w:rPr>
                <w:sz w:val="17"/>
              </w:rPr>
            </w:pPr>
            <w:r>
              <w:rPr>
                <w:w w:val="105"/>
                <w:sz w:val="17"/>
              </w:rPr>
              <w:t>49</w:t>
            </w:r>
            <w:r w:rsidR="002250E9">
              <w:rPr>
                <w:w w:val="105"/>
                <w:sz w:val="17"/>
              </w:rPr>
              <w:t>%</w:t>
            </w:r>
          </w:p>
        </w:tc>
      </w:tr>
    </w:tbl>
    <w:p w:rsidR="007F1F80" w:rsidRDefault="007F1F80">
      <w:pPr>
        <w:pStyle w:val="BodyText"/>
        <w:rPr>
          <w:sz w:val="20"/>
        </w:rPr>
      </w:pPr>
    </w:p>
    <w:p w:rsidR="007F1F80" w:rsidRDefault="007F1F80">
      <w:pPr>
        <w:pStyle w:val="BodyText"/>
        <w:rPr>
          <w:sz w:val="20"/>
        </w:rPr>
      </w:pPr>
    </w:p>
    <w:p w:rsidR="007F1F80" w:rsidRDefault="007F1F80">
      <w:pPr>
        <w:pStyle w:val="BodyText"/>
        <w:rPr>
          <w:sz w:val="20"/>
        </w:rPr>
      </w:pPr>
    </w:p>
    <w:p w:rsidR="007F1F80" w:rsidRDefault="002250E9">
      <w:pPr>
        <w:pStyle w:val="BodyText"/>
        <w:spacing w:before="133"/>
        <w:ind w:left="212"/>
      </w:pPr>
      <w:r>
        <w:rPr>
          <w:w w:val="120"/>
        </w:rPr>
        <w:t>Compliance with overall Pillar 2 rule</w:t>
      </w:r>
    </w:p>
    <w:p w:rsidR="007F1F80" w:rsidRDefault="002250E9">
      <w:pPr>
        <w:pStyle w:val="BodyText"/>
        <w:spacing w:before="67" w:line="314" w:lineRule="auto"/>
        <w:ind w:left="212" w:right="164"/>
        <w:jc w:val="both"/>
      </w:pPr>
      <w:r>
        <w:rPr>
          <w:w w:val="115"/>
        </w:rPr>
        <w:t xml:space="preserve">Under Pillar II of the CRD, the </w:t>
      </w:r>
      <w:r>
        <w:rPr>
          <w:w w:val="110"/>
        </w:rPr>
        <w:t xml:space="preserve">firm </w:t>
      </w:r>
      <w:r>
        <w:rPr>
          <w:w w:val="115"/>
        </w:rPr>
        <w:t xml:space="preserve">is required to enact an Internal Capital Adequacy Assessment Process (ICAAP). This is an ongoing process. The ICAAP document is presented to the Members of the </w:t>
      </w:r>
      <w:r>
        <w:rPr>
          <w:w w:val="110"/>
        </w:rPr>
        <w:t xml:space="preserve">firm </w:t>
      </w:r>
      <w:r>
        <w:rPr>
          <w:w w:val="115"/>
        </w:rPr>
        <w:t>for formal review and approval. The data and assumptions used in the assessment of risk and</w:t>
      </w:r>
      <w:r>
        <w:rPr>
          <w:w w:val="115"/>
        </w:rPr>
        <w:t xml:space="preserve"> capital adequacy are continually assessed and updated. This includes stress testing of various scenarios. Should new risks </w:t>
      </w:r>
      <w:proofErr w:type="spellStart"/>
      <w:r>
        <w:rPr>
          <w:w w:val="115"/>
        </w:rPr>
        <w:t>materialise</w:t>
      </w:r>
      <w:proofErr w:type="spellEnd"/>
      <w:r>
        <w:rPr>
          <w:w w:val="115"/>
        </w:rPr>
        <w:t xml:space="preserve"> or be identified by the firm, then these risks </w:t>
      </w:r>
      <w:r>
        <w:rPr>
          <w:w w:val="110"/>
        </w:rPr>
        <w:t xml:space="preserve">will </w:t>
      </w:r>
      <w:r>
        <w:rPr>
          <w:w w:val="115"/>
        </w:rPr>
        <w:t>be incorporated into the overall review process.</w:t>
      </w:r>
    </w:p>
    <w:p w:rsidR="007F1F80" w:rsidRDefault="007F1F80">
      <w:pPr>
        <w:pStyle w:val="BodyText"/>
        <w:spacing w:before="2"/>
        <w:rPr>
          <w:sz w:val="24"/>
        </w:rPr>
      </w:pPr>
    </w:p>
    <w:p w:rsidR="007F1F80" w:rsidRDefault="002250E9">
      <w:pPr>
        <w:pStyle w:val="BodyText"/>
        <w:ind w:left="212"/>
      </w:pPr>
      <w:r>
        <w:rPr>
          <w:w w:val="125"/>
        </w:rPr>
        <w:t>Remuneration discl</w:t>
      </w:r>
      <w:r>
        <w:rPr>
          <w:w w:val="125"/>
        </w:rPr>
        <w:t>osure</w:t>
      </w:r>
    </w:p>
    <w:p w:rsidR="007F1F80" w:rsidRDefault="002250E9">
      <w:pPr>
        <w:pStyle w:val="BodyText"/>
        <w:spacing w:before="62" w:line="316" w:lineRule="auto"/>
        <w:ind w:left="212" w:right="257"/>
      </w:pPr>
      <w:r>
        <w:rPr>
          <w:w w:val="115"/>
        </w:rPr>
        <w:t xml:space="preserve">The Firm is </w:t>
      </w:r>
      <w:proofErr w:type="spellStart"/>
      <w:r>
        <w:rPr>
          <w:w w:val="115"/>
        </w:rPr>
        <w:t>authorised</w:t>
      </w:r>
      <w:proofErr w:type="spellEnd"/>
      <w:r>
        <w:rPr>
          <w:w w:val="115"/>
        </w:rPr>
        <w:t xml:space="preserve"> by the FCA as a full scope firm and is subject to FCA Rules on remuneration. These are contained in the FCA’s Remuneration Code located in the Chapter 198 of SYSC Sourcebook in the FCA’s handbook.</w:t>
      </w:r>
    </w:p>
    <w:p w:rsidR="007F1F80" w:rsidRDefault="007F1F80">
      <w:pPr>
        <w:pStyle w:val="BodyText"/>
        <w:spacing w:before="5"/>
        <w:rPr>
          <w:sz w:val="23"/>
        </w:rPr>
      </w:pPr>
    </w:p>
    <w:p w:rsidR="007F1F80" w:rsidRDefault="002250E9">
      <w:pPr>
        <w:pStyle w:val="BodyText"/>
        <w:spacing w:before="1" w:line="314" w:lineRule="auto"/>
        <w:ind w:left="212"/>
      </w:pPr>
      <w:r>
        <w:rPr>
          <w:w w:val="115"/>
        </w:rPr>
        <w:t>The</w:t>
      </w:r>
      <w:r>
        <w:rPr>
          <w:spacing w:val="-11"/>
          <w:w w:val="115"/>
        </w:rPr>
        <w:t xml:space="preserve"> </w:t>
      </w:r>
      <w:r>
        <w:rPr>
          <w:w w:val="115"/>
        </w:rPr>
        <w:t>remuneration</w:t>
      </w:r>
      <w:r>
        <w:rPr>
          <w:spacing w:val="-9"/>
          <w:w w:val="115"/>
        </w:rPr>
        <w:t xml:space="preserve"> </w:t>
      </w:r>
      <w:r>
        <w:rPr>
          <w:w w:val="115"/>
        </w:rPr>
        <w:t>Code</w:t>
      </w:r>
      <w:r>
        <w:rPr>
          <w:spacing w:val="-8"/>
          <w:w w:val="115"/>
        </w:rPr>
        <w:t xml:space="preserve"> </w:t>
      </w:r>
      <w:r>
        <w:rPr>
          <w:w w:val="115"/>
        </w:rPr>
        <w:t>covers</w:t>
      </w:r>
      <w:r>
        <w:rPr>
          <w:spacing w:val="-8"/>
          <w:w w:val="115"/>
        </w:rPr>
        <w:t xml:space="preserve"> </w:t>
      </w:r>
      <w:r>
        <w:rPr>
          <w:w w:val="115"/>
        </w:rPr>
        <w:t>individuals’</w:t>
      </w:r>
      <w:r>
        <w:rPr>
          <w:spacing w:val="-8"/>
          <w:w w:val="115"/>
        </w:rPr>
        <w:t xml:space="preserve"> </w:t>
      </w:r>
      <w:r>
        <w:rPr>
          <w:w w:val="115"/>
        </w:rPr>
        <w:t>total</w:t>
      </w:r>
      <w:r>
        <w:rPr>
          <w:spacing w:val="-13"/>
          <w:w w:val="115"/>
        </w:rPr>
        <w:t xml:space="preserve"> </w:t>
      </w:r>
      <w:r>
        <w:rPr>
          <w:w w:val="115"/>
        </w:rPr>
        <w:t>remuneration,</w:t>
      </w:r>
      <w:r>
        <w:rPr>
          <w:spacing w:val="-8"/>
          <w:w w:val="115"/>
        </w:rPr>
        <w:t xml:space="preserve"> </w:t>
      </w:r>
      <w:r>
        <w:rPr>
          <w:w w:val="115"/>
        </w:rPr>
        <w:t>comprised</w:t>
      </w:r>
      <w:r>
        <w:rPr>
          <w:spacing w:val="-11"/>
          <w:w w:val="115"/>
        </w:rPr>
        <w:t xml:space="preserve"> </w:t>
      </w:r>
      <w:r>
        <w:rPr>
          <w:w w:val="115"/>
        </w:rPr>
        <w:t>of</w:t>
      </w:r>
      <w:r>
        <w:rPr>
          <w:spacing w:val="-10"/>
          <w:w w:val="115"/>
        </w:rPr>
        <w:t xml:space="preserve"> </w:t>
      </w:r>
      <w:r>
        <w:rPr>
          <w:w w:val="115"/>
        </w:rPr>
        <w:t>both</w:t>
      </w:r>
      <w:r>
        <w:rPr>
          <w:spacing w:val="-8"/>
          <w:w w:val="115"/>
        </w:rPr>
        <w:t xml:space="preserve"> </w:t>
      </w:r>
      <w:r>
        <w:rPr>
          <w:w w:val="115"/>
        </w:rPr>
        <w:t>fixed</w:t>
      </w:r>
      <w:r>
        <w:rPr>
          <w:spacing w:val="-8"/>
          <w:w w:val="115"/>
        </w:rPr>
        <w:t xml:space="preserve"> </w:t>
      </w:r>
      <w:r>
        <w:rPr>
          <w:w w:val="115"/>
        </w:rPr>
        <w:t>and</w:t>
      </w:r>
      <w:r>
        <w:rPr>
          <w:spacing w:val="-7"/>
          <w:w w:val="115"/>
        </w:rPr>
        <w:t xml:space="preserve"> </w:t>
      </w:r>
      <w:r>
        <w:rPr>
          <w:w w:val="115"/>
        </w:rPr>
        <w:t xml:space="preserve">variable elements. The Firm </w:t>
      </w:r>
      <w:proofErr w:type="spellStart"/>
      <w:r>
        <w:rPr>
          <w:w w:val="115"/>
        </w:rPr>
        <w:t>incentivises</w:t>
      </w:r>
      <w:proofErr w:type="spellEnd"/>
      <w:r>
        <w:rPr>
          <w:w w:val="115"/>
        </w:rPr>
        <w:t xml:space="preserve"> employees and members through a combination of the</w:t>
      </w:r>
      <w:r>
        <w:rPr>
          <w:spacing w:val="-3"/>
          <w:w w:val="115"/>
        </w:rPr>
        <w:t xml:space="preserve"> </w:t>
      </w:r>
      <w:r>
        <w:rPr>
          <w:w w:val="115"/>
        </w:rPr>
        <w:t>two.</w:t>
      </w:r>
    </w:p>
    <w:p w:rsidR="007F1F80" w:rsidRDefault="002250E9">
      <w:pPr>
        <w:pStyle w:val="BodyText"/>
        <w:spacing w:before="2" w:line="314" w:lineRule="auto"/>
        <w:ind w:left="212" w:right="257"/>
      </w:pPr>
      <w:r>
        <w:rPr>
          <w:w w:val="110"/>
        </w:rPr>
        <w:t>The Firm’s Remuneration Policy is designed to ensure that it complies with applicable Remuneration Code, and its compensation arrangements:</w:t>
      </w:r>
    </w:p>
    <w:p w:rsidR="007F1F80" w:rsidRDefault="002250E9">
      <w:pPr>
        <w:pStyle w:val="ListParagraph"/>
        <w:numPr>
          <w:ilvl w:val="1"/>
          <w:numId w:val="2"/>
        </w:numPr>
        <w:tabs>
          <w:tab w:val="left" w:pos="889"/>
        </w:tabs>
        <w:rPr>
          <w:sz w:val="18"/>
        </w:rPr>
      </w:pPr>
      <w:r>
        <w:rPr>
          <w:w w:val="115"/>
          <w:sz w:val="18"/>
        </w:rPr>
        <w:t>Are consistent with and promotes sound and effective risk</w:t>
      </w:r>
      <w:r>
        <w:rPr>
          <w:spacing w:val="6"/>
          <w:w w:val="115"/>
          <w:sz w:val="18"/>
        </w:rPr>
        <w:t xml:space="preserve"> </w:t>
      </w:r>
      <w:r>
        <w:rPr>
          <w:w w:val="115"/>
          <w:sz w:val="18"/>
        </w:rPr>
        <w:t>management;</w:t>
      </w:r>
    </w:p>
    <w:p w:rsidR="007F1F80" w:rsidRDefault="002250E9">
      <w:pPr>
        <w:pStyle w:val="ListParagraph"/>
        <w:numPr>
          <w:ilvl w:val="1"/>
          <w:numId w:val="2"/>
        </w:numPr>
        <w:tabs>
          <w:tab w:val="left" w:pos="889"/>
        </w:tabs>
        <w:spacing w:before="67"/>
        <w:rPr>
          <w:sz w:val="18"/>
        </w:rPr>
      </w:pPr>
      <w:r>
        <w:rPr>
          <w:w w:val="115"/>
          <w:sz w:val="18"/>
        </w:rPr>
        <w:t>Do</w:t>
      </w:r>
      <w:r>
        <w:rPr>
          <w:spacing w:val="-7"/>
          <w:w w:val="115"/>
          <w:sz w:val="18"/>
        </w:rPr>
        <w:t xml:space="preserve"> </w:t>
      </w:r>
      <w:r>
        <w:rPr>
          <w:w w:val="115"/>
          <w:sz w:val="18"/>
        </w:rPr>
        <w:t>not</w:t>
      </w:r>
      <w:r>
        <w:rPr>
          <w:spacing w:val="-7"/>
          <w:w w:val="115"/>
          <w:sz w:val="18"/>
        </w:rPr>
        <w:t xml:space="preserve"> </w:t>
      </w:r>
      <w:r>
        <w:rPr>
          <w:w w:val="115"/>
          <w:sz w:val="18"/>
        </w:rPr>
        <w:t>encourage</w:t>
      </w:r>
      <w:r>
        <w:rPr>
          <w:spacing w:val="-7"/>
          <w:w w:val="115"/>
          <w:sz w:val="18"/>
        </w:rPr>
        <w:t xml:space="preserve"> </w:t>
      </w:r>
      <w:r>
        <w:rPr>
          <w:w w:val="115"/>
          <w:sz w:val="18"/>
        </w:rPr>
        <w:t>excessive</w:t>
      </w:r>
      <w:r>
        <w:rPr>
          <w:spacing w:val="-7"/>
          <w:w w:val="115"/>
          <w:sz w:val="18"/>
        </w:rPr>
        <w:t xml:space="preserve"> </w:t>
      </w:r>
      <w:r>
        <w:rPr>
          <w:w w:val="115"/>
          <w:sz w:val="18"/>
        </w:rPr>
        <w:t>risk</w:t>
      </w:r>
      <w:r>
        <w:rPr>
          <w:spacing w:val="-2"/>
          <w:w w:val="115"/>
          <w:sz w:val="18"/>
        </w:rPr>
        <w:t xml:space="preserve"> </w:t>
      </w:r>
      <w:r>
        <w:rPr>
          <w:w w:val="115"/>
          <w:sz w:val="18"/>
        </w:rPr>
        <w:t>taking</w:t>
      </w:r>
      <w:r>
        <w:rPr>
          <w:spacing w:val="-8"/>
          <w:w w:val="115"/>
          <w:sz w:val="18"/>
        </w:rPr>
        <w:t xml:space="preserve"> </w:t>
      </w:r>
      <w:r>
        <w:rPr>
          <w:w w:val="115"/>
          <w:sz w:val="18"/>
        </w:rPr>
        <w:t>which</w:t>
      </w:r>
      <w:r>
        <w:rPr>
          <w:spacing w:val="-4"/>
          <w:w w:val="115"/>
          <w:sz w:val="18"/>
        </w:rPr>
        <w:t xml:space="preserve"> </w:t>
      </w:r>
      <w:r>
        <w:rPr>
          <w:w w:val="115"/>
          <w:sz w:val="18"/>
        </w:rPr>
        <w:t>i</w:t>
      </w:r>
      <w:r>
        <w:rPr>
          <w:w w:val="115"/>
          <w:sz w:val="18"/>
        </w:rPr>
        <w:t>s</w:t>
      </w:r>
      <w:r>
        <w:rPr>
          <w:spacing w:val="-4"/>
          <w:w w:val="115"/>
          <w:sz w:val="18"/>
        </w:rPr>
        <w:t xml:space="preserve"> </w:t>
      </w:r>
      <w:r>
        <w:rPr>
          <w:w w:val="115"/>
          <w:sz w:val="18"/>
        </w:rPr>
        <w:t>inconsistence</w:t>
      </w:r>
      <w:r>
        <w:rPr>
          <w:spacing w:val="-8"/>
          <w:w w:val="115"/>
          <w:sz w:val="18"/>
        </w:rPr>
        <w:t xml:space="preserve"> </w:t>
      </w:r>
      <w:r>
        <w:rPr>
          <w:w w:val="115"/>
          <w:sz w:val="18"/>
        </w:rPr>
        <w:t>with</w:t>
      </w:r>
      <w:r>
        <w:rPr>
          <w:spacing w:val="-7"/>
          <w:w w:val="115"/>
          <w:sz w:val="18"/>
        </w:rPr>
        <w:t xml:space="preserve"> </w:t>
      </w:r>
      <w:r>
        <w:rPr>
          <w:w w:val="115"/>
          <w:sz w:val="18"/>
        </w:rPr>
        <w:t>the</w:t>
      </w:r>
      <w:r>
        <w:rPr>
          <w:spacing w:val="-8"/>
          <w:w w:val="115"/>
          <w:sz w:val="18"/>
        </w:rPr>
        <w:t xml:space="preserve"> </w:t>
      </w:r>
      <w:r>
        <w:rPr>
          <w:w w:val="115"/>
          <w:sz w:val="18"/>
        </w:rPr>
        <w:t>Firm’s</w:t>
      </w:r>
      <w:r>
        <w:rPr>
          <w:spacing w:val="-7"/>
          <w:w w:val="115"/>
          <w:sz w:val="18"/>
        </w:rPr>
        <w:t xml:space="preserve"> </w:t>
      </w:r>
      <w:r>
        <w:rPr>
          <w:w w:val="115"/>
          <w:sz w:val="18"/>
        </w:rPr>
        <w:t>risk</w:t>
      </w:r>
      <w:r>
        <w:rPr>
          <w:spacing w:val="-3"/>
          <w:w w:val="115"/>
          <w:sz w:val="18"/>
        </w:rPr>
        <w:t xml:space="preserve"> </w:t>
      </w:r>
      <w:r>
        <w:rPr>
          <w:w w:val="115"/>
          <w:sz w:val="18"/>
        </w:rPr>
        <w:t>profile;</w:t>
      </w:r>
    </w:p>
    <w:p w:rsidR="007F1F80" w:rsidRDefault="002250E9">
      <w:pPr>
        <w:pStyle w:val="ListParagraph"/>
        <w:numPr>
          <w:ilvl w:val="1"/>
          <w:numId w:val="2"/>
        </w:numPr>
        <w:tabs>
          <w:tab w:val="left" w:pos="889"/>
        </w:tabs>
        <w:spacing w:before="64"/>
        <w:rPr>
          <w:sz w:val="18"/>
        </w:rPr>
      </w:pPr>
      <w:r>
        <w:rPr>
          <w:w w:val="110"/>
          <w:sz w:val="18"/>
        </w:rPr>
        <w:t>Includes measures to avoid conflict of interest;</w:t>
      </w:r>
      <w:r>
        <w:rPr>
          <w:spacing w:val="33"/>
          <w:w w:val="110"/>
          <w:sz w:val="18"/>
        </w:rPr>
        <w:t xml:space="preserve"> </w:t>
      </w:r>
      <w:r>
        <w:rPr>
          <w:w w:val="110"/>
          <w:sz w:val="18"/>
        </w:rPr>
        <w:t>and</w:t>
      </w:r>
    </w:p>
    <w:p w:rsidR="007F1F80" w:rsidRDefault="002250E9">
      <w:pPr>
        <w:pStyle w:val="ListParagraph"/>
        <w:numPr>
          <w:ilvl w:val="1"/>
          <w:numId w:val="2"/>
        </w:numPr>
        <w:tabs>
          <w:tab w:val="left" w:pos="889"/>
        </w:tabs>
        <w:spacing w:before="67"/>
        <w:rPr>
          <w:sz w:val="18"/>
        </w:rPr>
      </w:pPr>
      <w:r>
        <w:rPr>
          <w:w w:val="110"/>
          <w:sz w:val="18"/>
        </w:rPr>
        <w:t>Are</w:t>
      </w:r>
      <w:r>
        <w:rPr>
          <w:spacing w:val="8"/>
          <w:w w:val="110"/>
          <w:sz w:val="18"/>
        </w:rPr>
        <w:t xml:space="preserve"> </w:t>
      </w:r>
      <w:r>
        <w:rPr>
          <w:w w:val="110"/>
          <w:sz w:val="18"/>
        </w:rPr>
        <w:t>in</w:t>
      </w:r>
      <w:r>
        <w:rPr>
          <w:spacing w:val="9"/>
          <w:w w:val="110"/>
          <w:sz w:val="18"/>
        </w:rPr>
        <w:t xml:space="preserve"> </w:t>
      </w:r>
      <w:r>
        <w:rPr>
          <w:w w:val="110"/>
          <w:sz w:val="18"/>
        </w:rPr>
        <w:t>line</w:t>
      </w:r>
      <w:r>
        <w:rPr>
          <w:spacing w:val="8"/>
          <w:w w:val="110"/>
          <w:sz w:val="18"/>
        </w:rPr>
        <w:t xml:space="preserve"> </w:t>
      </w:r>
      <w:r>
        <w:rPr>
          <w:w w:val="110"/>
          <w:sz w:val="18"/>
        </w:rPr>
        <w:t>with</w:t>
      </w:r>
      <w:r>
        <w:rPr>
          <w:spacing w:val="11"/>
          <w:w w:val="110"/>
          <w:sz w:val="18"/>
        </w:rPr>
        <w:t xml:space="preserve"> </w:t>
      </w:r>
      <w:r>
        <w:rPr>
          <w:w w:val="110"/>
          <w:sz w:val="18"/>
        </w:rPr>
        <w:t>the</w:t>
      </w:r>
      <w:r>
        <w:rPr>
          <w:spacing w:val="9"/>
          <w:w w:val="110"/>
          <w:sz w:val="18"/>
        </w:rPr>
        <w:t xml:space="preserve"> </w:t>
      </w:r>
      <w:r>
        <w:rPr>
          <w:w w:val="110"/>
          <w:sz w:val="18"/>
        </w:rPr>
        <w:t>Firm’s</w:t>
      </w:r>
      <w:r>
        <w:rPr>
          <w:spacing w:val="8"/>
          <w:w w:val="110"/>
          <w:sz w:val="18"/>
        </w:rPr>
        <w:t xml:space="preserve"> </w:t>
      </w:r>
      <w:r>
        <w:rPr>
          <w:w w:val="110"/>
          <w:sz w:val="18"/>
        </w:rPr>
        <w:t>business</w:t>
      </w:r>
      <w:r>
        <w:rPr>
          <w:spacing w:val="9"/>
          <w:w w:val="110"/>
          <w:sz w:val="18"/>
        </w:rPr>
        <w:t xml:space="preserve"> </w:t>
      </w:r>
      <w:r>
        <w:rPr>
          <w:w w:val="110"/>
          <w:sz w:val="18"/>
        </w:rPr>
        <w:t>strategy,</w:t>
      </w:r>
      <w:r>
        <w:rPr>
          <w:spacing w:val="13"/>
          <w:w w:val="110"/>
          <w:sz w:val="18"/>
        </w:rPr>
        <w:t xml:space="preserve"> </w:t>
      </w:r>
      <w:r>
        <w:rPr>
          <w:w w:val="110"/>
          <w:sz w:val="18"/>
        </w:rPr>
        <w:t>objectives,</w:t>
      </w:r>
      <w:r>
        <w:rPr>
          <w:spacing w:val="10"/>
          <w:w w:val="110"/>
          <w:sz w:val="18"/>
        </w:rPr>
        <w:t xml:space="preserve"> </w:t>
      </w:r>
      <w:r>
        <w:rPr>
          <w:w w:val="110"/>
          <w:sz w:val="18"/>
        </w:rPr>
        <w:t>values</w:t>
      </w:r>
      <w:r>
        <w:rPr>
          <w:spacing w:val="10"/>
          <w:w w:val="110"/>
          <w:sz w:val="18"/>
        </w:rPr>
        <w:t xml:space="preserve"> </w:t>
      </w:r>
      <w:r>
        <w:rPr>
          <w:w w:val="110"/>
          <w:sz w:val="18"/>
        </w:rPr>
        <w:t>and</w:t>
      </w:r>
      <w:r>
        <w:rPr>
          <w:spacing w:val="13"/>
          <w:w w:val="110"/>
          <w:sz w:val="18"/>
        </w:rPr>
        <w:t xml:space="preserve"> </w:t>
      </w:r>
      <w:r>
        <w:rPr>
          <w:w w:val="110"/>
          <w:sz w:val="18"/>
        </w:rPr>
        <w:t>long</w:t>
      </w:r>
      <w:r>
        <w:rPr>
          <w:spacing w:val="8"/>
          <w:w w:val="110"/>
          <w:sz w:val="18"/>
        </w:rPr>
        <w:t xml:space="preserve"> </w:t>
      </w:r>
      <w:r>
        <w:rPr>
          <w:w w:val="110"/>
          <w:sz w:val="18"/>
        </w:rPr>
        <w:t>term</w:t>
      </w:r>
      <w:r>
        <w:rPr>
          <w:spacing w:val="10"/>
          <w:w w:val="110"/>
          <w:sz w:val="18"/>
        </w:rPr>
        <w:t xml:space="preserve"> </w:t>
      </w:r>
      <w:r>
        <w:rPr>
          <w:w w:val="110"/>
          <w:sz w:val="18"/>
        </w:rPr>
        <w:t>interests.</w:t>
      </w:r>
    </w:p>
    <w:p w:rsidR="007F1F80" w:rsidRDefault="007F1F80">
      <w:pPr>
        <w:pStyle w:val="BodyText"/>
        <w:rPr>
          <w:sz w:val="20"/>
        </w:rPr>
      </w:pPr>
    </w:p>
    <w:p w:rsidR="007F1F80" w:rsidRDefault="007F1F80">
      <w:pPr>
        <w:pStyle w:val="BodyText"/>
        <w:rPr>
          <w:sz w:val="20"/>
        </w:rPr>
      </w:pPr>
    </w:p>
    <w:p w:rsidR="007F1F80" w:rsidRDefault="002250E9">
      <w:pPr>
        <w:pStyle w:val="BodyText"/>
        <w:spacing w:before="146"/>
        <w:ind w:left="212"/>
        <w:jc w:val="both"/>
      </w:pPr>
      <w:r>
        <w:rPr>
          <w:w w:val="120"/>
        </w:rPr>
        <w:t>Proportionality</w:t>
      </w:r>
    </w:p>
    <w:p w:rsidR="007F1F80" w:rsidRDefault="002250E9">
      <w:pPr>
        <w:pStyle w:val="BodyText"/>
        <w:spacing w:before="67" w:line="314" w:lineRule="auto"/>
        <w:ind w:left="212" w:right="164"/>
        <w:jc w:val="both"/>
      </w:pPr>
      <w:r>
        <w:rPr>
          <w:w w:val="110"/>
        </w:rPr>
        <w:t xml:space="preserve">Enshrined </w:t>
      </w:r>
      <w:r>
        <w:rPr>
          <w:spacing w:val="-3"/>
          <w:w w:val="110"/>
        </w:rPr>
        <w:t xml:space="preserve">in </w:t>
      </w:r>
      <w:r>
        <w:rPr>
          <w:w w:val="110"/>
        </w:rPr>
        <w:t xml:space="preserve">the European remuneration provisions is the principle of proportionality. The FCA has sought to apply proportionality in the first instance by instituting two tests. Firstly, a firm that </w:t>
      </w:r>
      <w:proofErr w:type="gramStart"/>
      <w:r>
        <w:rPr>
          <w:w w:val="110"/>
        </w:rPr>
        <w:t>is  significant</w:t>
      </w:r>
      <w:proofErr w:type="gramEnd"/>
      <w:r>
        <w:rPr>
          <w:w w:val="110"/>
        </w:rPr>
        <w:t xml:space="preserve"> in terms of size  must disclose quantitative informat</w:t>
      </w:r>
      <w:r>
        <w:rPr>
          <w:w w:val="110"/>
        </w:rPr>
        <w:t xml:space="preserve">ion referred to in BIPRU 11.5 at the level  of senior personnel. Secondly, that a firm must make disclosure that is appropriate to the size, </w:t>
      </w:r>
      <w:proofErr w:type="gramStart"/>
      <w:r>
        <w:rPr>
          <w:w w:val="110"/>
        </w:rPr>
        <w:t xml:space="preserve">internal  </w:t>
      </w:r>
      <w:proofErr w:type="spellStart"/>
      <w:r>
        <w:rPr>
          <w:w w:val="110"/>
        </w:rPr>
        <w:t>organisation</w:t>
      </w:r>
      <w:proofErr w:type="spellEnd"/>
      <w:proofErr w:type="gramEnd"/>
      <w:r>
        <w:rPr>
          <w:w w:val="110"/>
        </w:rPr>
        <w:t xml:space="preserve"> and the nature, scope and complexity of their</w:t>
      </w:r>
      <w:r>
        <w:rPr>
          <w:spacing w:val="49"/>
          <w:w w:val="110"/>
        </w:rPr>
        <w:t xml:space="preserve"> </w:t>
      </w:r>
      <w:r>
        <w:rPr>
          <w:w w:val="110"/>
        </w:rPr>
        <w:t>activities.</w:t>
      </w:r>
    </w:p>
    <w:p w:rsidR="007F1F80" w:rsidRDefault="007F1F80">
      <w:pPr>
        <w:spacing w:line="314" w:lineRule="auto"/>
        <w:jc w:val="both"/>
        <w:sectPr w:rsidR="007F1F80" w:rsidSect="00F73C93">
          <w:pgSz w:w="12240" w:h="15840"/>
          <w:pgMar w:top="1440" w:right="1720" w:bottom="280" w:left="1660" w:header="678" w:footer="0" w:gutter="0"/>
          <w:cols w:space="720"/>
        </w:sectPr>
      </w:pPr>
    </w:p>
    <w:p w:rsidR="007F1F80" w:rsidRDefault="002250E9">
      <w:pPr>
        <w:pStyle w:val="BodyText"/>
        <w:spacing w:before="88" w:line="314" w:lineRule="auto"/>
        <w:ind w:left="212" w:right="168"/>
        <w:jc w:val="both"/>
      </w:pPr>
      <w:r>
        <w:rPr>
          <w:w w:val="110"/>
        </w:rPr>
        <w:lastRenderedPageBreak/>
        <w:t>The firm is not signif</w:t>
      </w:r>
      <w:r>
        <w:rPr>
          <w:w w:val="110"/>
        </w:rPr>
        <w:t xml:space="preserve">icant and so makes this disclosure in accordance with the second test (BIPRU </w:t>
      </w:r>
      <w:proofErr w:type="gramStart"/>
      <w:r>
        <w:rPr>
          <w:w w:val="110"/>
        </w:rPr>
        <w:t>11.5.20R(</w:t>
      </w:r>
      <w:proofErr w:type="gramEnd"/>
      <w:r>
        <w:rPr>
          <w:w w:val="110"/>
        </w:rPr>
        <w:t>2).</w:t>
      </w:r>
    </w:p>
    <w:p w:rsidR="007F1F80" w:rsidRDefault="007F1F80">
      <w:pPr>
        <w:pStyle w:val="BodyText"/>
        <w:spacing w:before="9"/>
        <w:rPr>
          <w:sz w:val="23"/>
        </w:rPr>
      </w:pPr>
    </w:p>
    <w:p w:rsidR="007F1F80" w:rsidRDefault="002250E9">
      <w:pPr>
        <w:pStyle w:val="BodyText"/>
        <w:ind w:left="212"/>
      </w:pPr>
      <w:r>
        <w:rPr>
          <w:w w:val="125"/>
        </w:rPr>
        <w:t>Application of the requirements</w:t>
      </w:r>
    </w:p>
    <w:p w:rsidR="007F1F80" w:rsidRDefault="002250E9">
      <w:pPr>
        <w:pStyle w:val="BodyText"/>
        <w:spacing w:before="67" w:line="314" w:lineRule="auto"/>
        <w:ind w:left="212" w:right="168"/>
        <w:jc w:val="both"/>
      </w:pPr>
      <w:r>
        <w:rPr>
          <w:spacing w:val="3"/>
          <w:w w:val="115"/>
        </w:rPr>
        <w:t xml:space="preserve">We </w:t>
      </w:r>
      <w:r>
        <w:rPr>
          <w:w w:val="115"/>
        </w:rPr>
        <w:t xml:space="preserve">are required to disclose certain information on at least an annual basis regarding our Remuneration policy and </w:t>
      </w:r>
      <w:proofErr w:type="gramStart"/>
      <w:r>
        <w:rPr>
          <w:w w:val="115"/>
        </w:rPr>
        <w:t>practices</w:t>
      </w:r>
      <w:proofErr w:type="gramEnd"/>
      <w:r>
        <w:rPr>
          <w:w w:val="115"/>
        </w:rPr>
        <w:t xml:space="preserve"> for those</w:t>
      </w:r>
      <w:r>
        <w:rPr>
          <w:w w:val="115"/>
        </w:rPr>
        <w:t xml:space="preserve"> staff and members whose professional activities have a material impact on the risk profile of the firm. Our disclosure is made in accordance with our size, internal </w:t>
      </w:r>
      <w:proofErr w:type="spellStart"/>
      <w:r>
        <w:rPr>
          <w:w w:val="115"/>
        </w:rPr>
        <w:t>organisation</w:t>
      </w:r>
      <w:proofErr w:type="spellEnd"/>
      <w:r>
        <w:rPr>
          <w:w w:val="115"/>
        </w:rPr>
        <w:t xml:space="preserve"> and the nature, scope and complexity of our</w:t>
      </w:r>
      <w:r>
        <w:rPr>
          <w:spacing w:val="-4"/>
          <w:w w:val="115"/>
        </w:rPr>
        <w:t xml:space="preserve"> </w:t>
      </w:r>
      <w:r>
        <w:rPr>
          <w:w w:val="115"/>
        </w:rPr>
        <w:t>activities.</w:t>
      </w:r>
    </w:p>
    <w:p w:rsidR="007F1F80" w:rsidRDefault="007F1F80">
      <w:pPr>
        <w:pStyle w:val="BodyText"/>
        <w:spacing w:before="7"/>
        <w:rPr>
          <w:sz w:val="23"/>
        </w:rPr>
      </w:pPr>
    </w:p>
    <w:p w:rsidR="007F1F80" w:rsidRDefault="002250E9">
      <w:pPr>
        <w:pStyle w:val="ListParagraph"/>
        <w:numPr>
          <w:ilvl w:val="0"/>
          <w:numId w:val="1"/>
        </w:numPr>
        <w:tabs>
          <w:tab w:val="left" w:pos="440"/>
        </w:tabs>
        <w:spacing w:line="316" w:lineRule="auto"/>
        <w:ind w:right="169" w:firstLine="0"/>
        <w:jc w:val="both"/>
        <w:rPr>
          <w:sz w:val="18"/>
        </w:rPr>
      </w:pPr>
      <w:r>
        <w:rPr>
          <w:w w:val="110"/>
          <w:sz w:val="18"/>
        </w:rPr>
        <w:t>Summary of information on decision-making process used in determining the firm’s remuneration policy:</w:t>
      </w:r>
    </w:p>
    <w:p w:rsidR="007F1F80" w:rsidRDefault="002250E9">
      <w:pPr>
        <w:pStyle w:val="ListParagraph"/>
        <w:numPr>
          <w:ilvl w:val="1"/>
          <w:numId w:val="1"/>
        </w:numPr>
        <w:tabs>
          <w:tab w:val="left" w:pos="890"/>
        </w:tabs>
        <w:spacing w:before="15" w:line="312" w:lineRule="auto"/>
        <w:ind w:right="166" w:hanging="338"/>
        <w:rPr>
          <w:sz w:val="18"/>
        </w:rPr>
      </w:pPr>
      <w:r>
        <w:rPr>
          <w:w w:val="115"/>
          <w:sz w:val="18"/>
        </w:rPr>
        <w:t>The Firm’s policy has been agreed by the Members in line with the Remuneration principles laid down by the</w:t>
      </w:r>
      <w:r>
        <w:rPr>
          <w:spacing w:val="-8"/>
          <w:w w:val="115"/>
          <w:sz w:val="18"/>
        </w:rPr>
        <w:t xml:space="preserve"> </w:t>
      </w:r>
      <w:r>
        <w:rPr>
          <w:w w:val="115"/>
          <w:sz w:val="18"/>
        </w:rPr>
        <w:t>FCA.</w:t>
      </w:r>
    </w:p>
    <w:p w:rsidR="007F1F80" w:rsidRDefault="002250E9">
      <w:pPr>
        <w:pStyle w:val="ListParagraph"/>
        <w:numPr>
          <w:ilvl w:val="1"/>
          <w:numId w:val="1"/>
        </w:numPr>
        <w:tabs>
          <w:tab w:val="left" w:pos="890"/>
        </w:tabs>
        <w:spacing w:before="16" w:line="316" w:lineRule="auto"/>
        <w:ind w:right="168" w:hanging="338"/>
        <w:rPr>
          <w:sz w:val="18"/>
        </w:rPr>
      </w:pPr>
      <w:r>
        <w:rPr>
          <w:w w:val="115"/>
          <w:sz w:val="18"/>
        </w:rPr>
        <w:t xml:space="preserve">Due to the size, nature and complexity of </w:t>
      </w:r>
      <w:r>
        <w:rPr>
          <w:w w:val="115"/>
          <w:sz w:val="18"/>
        </w:rPr>
        <w:t>the Firm, we are not required to appoint an independent remuneration committee.</w:t>
      </w:r>
    </w:p>
    <w:p w:rsidR="007F1F80" w:rsidRDefault="002250E9">
      <w:pPr>
        <w:pStyle w:val="ListParagraph"/>
        <w:numPr>
          <w:ilvl w:val="1"/>
          <w:numId w:val="1"/>
        </w:numPr>
        <w:tabs>
          <w:tab w:val="left" w:pos="890"/>
        </w:tabs>
        <w:spacing w:before="11" w:line="316" w:lineRule="auto"/>
        <w:ind w:right="163" w:hanging="338"/>
        <w:rPr>
          <w:sz w:val="18"/>
        </w:rPr>
      </w:pPr>
      <w:r>
        <w:rPr>
          <w:w w:val="115"/>
          <w:sz w:val="18"/>
        </w:rPr>
        <w:t>The Firm’s policy will be reviewed as part of annual process and procedures, or following a significant change to the business requiring an update to its internal capital adequ</w:t>
      </w:r>
      <w:r>
        <w:rPr>
          <w:w w:val="115"/>
          <w:sz w:val="18"/>
        </w:rPr>
        <w:t>acy assessment.</w:t>
      </w:r>
    </w:p>
    <w:p w:rsidR="007F1F80" w:rsidRDefault="007F1F80">
      <w:pPr>
        <w:pStyle w:val="BodyText"/>
        <w:spacing w:before="3"/>
        <w:rPr>
          <w:sz w:val="23"/>
        </w:rPr>
      </w:pPr>
    </w:p>
    <w:p w:rsidR="007F1F80" w:rsidRDefault="002250E9">
      <w:pPr>
        <w:pStyle w:val="ListParagraph"/>
        <w:numPr>
          <w:ilvl w:val="0"/>
          <w:numId w:val="1"/>
        </w:numPr>
        <w:tabs>
          <w:tab w:val="left" w:pos="421"/>
        </w:tabs>
        <w:ind w:left="420" w:hanging="208"/>
        <w:rPr>
          <w:sz w:val="18"/>
        </w:rPr>
      </w:pPr>
      <w:r>
        <w:rPr>
          <w:w w:val="110"/>
          <w:sz w:val="18"/>
        </w:rPr>
        <w:t>Summary of firm links between pay and</w:t>
      </w:r>
      <w:r>
        <w:rPr>
          <w:spacing w:val="18"/>
          <w:w w:val="110"/>
          <w:sz w:val="18"/>
        </w:rPr>
        <w:t xml:space="preserve"> </w:t>
      </w:r>
      <w:r>
        <w:rPr>
          <w:w w:val="110"/>
          <w:sz w:val="18"/>
        </w:rPr>
        <w:t>performance:</w:t>
      </w:r>
    </w:p>
    <w:p w:rsidR="007F1F80" w:rsidRDefault="002250E9">
      <w:pPr>
        <w:pStyle w:val="ListParagraph"/>
        <w:numPr>
          <w:ilvl w:val="1"/>
          <w:numId w:val="1"/>
        </w:numPr>
        <w:tabs>
          <w:tab w:val="left" w:pos="890"/>
        </w:tabs>
        <w:spacing w:before="78" w:line="314" w:lineRule="auto"/>
        <w:ind w:right="166" w:hanging="338"/>
        <w:rPr>
          <w:sz w:val="18"/>
        </w:rPr>
      </w:pPr>
      <w:r>
        <w:rPr>
          <w:w w:val="115"/>
          <w:sz w:val="18"/>
        </w:rPr>
        <w:t xml:space="preserve">Employees are rewarded, based on their contribution to the overall strategy and success </w:t>
      </w:r>
      <w:proofErr w:type="gramStart"/>
      <w:r>
        <w:rPr>
          <w:w w:val="115"/>
          <w:sz w:val="18"/>
        </w:rPr>
        <w:t>of  the</w:t>
      </w:r>
      <w:proofErr w:type="gramEnd"/>
      <w:r>
        <w:rPr>
          <w:w w:val="115"/>
          <w:sz w:val="18"/>
        </w:rPr>
        <w:t xml:space="preserve"> business, in terms of trading, operational and</w:t>
      </w:r>
      <w:r>
        <w:rPr>
          <w:spacing w:val="2"/>
          <w:w w:val="115"/>
          <w:sz w:val="18"/>
        </w:rPr>
        <w:t xml:space="preserve"> </w:t>
      </w:r>
      <w:r>
        <w:rPr>
          <w:w w:val="115"/>
          <w:sz w:val="18"/>
        </w:rPr>
        <w:t>compliance.</w:t>
      </w:r>
    </w:p>
    <w:p w:rsidR="007F1F80" w:rsidRDefault="002250E9">
      <w:pPr>
        <w:pStyle w:val="ListParagraph"/>
        <w:numPr>
          <w:ilvl w:val="1"/>
          <w:numId w:val="1"/>
        </w:numPr>
        <w:tabs>
          <w:tab w:val="left" w:pos="890"/>
        </w:tabs>
        <w:spacing w:before="15" w:line="314" w:lineRule="auto"/>
        <w:ind w:right="165" w:hanging="338"/>
        <w:rPr>
          <w:sz w:val="18"/>
        </w:rPr>
      </w:pPr>
      <w:r>
        <w:rPr>
          <w:w w:val="115"/>
          <w:sz w:val="18"/>
        </w:rPr>
        <w:t>Other factors such as performance, reliability, effectiveness of control, business development and contribution to business are taken into account when assessing the performance of the senior staff responsible for the infrastructure of the firm.</w:t>
      </w:r>
    </w:p>
    <w:p w:rsidR="007F1F80" w:rsidRDefault="007F1F80">
      <w:pPr>
        <w:pStyle w:val="BodyText"/>
        <w:spacing w:before="9"/>
        <w:rPr>
          <w:sz w:val="23"/>
        </w:rPr>
      </w:pPr>
    </w:p>
    <w:p w:rsidR="007F1F80" w:rsidRDefault="002250E9">
      <w:pPr>
        <w:pStyle w:val="BodyText"/>
        <w:spacing w:line="316" w:lineRule="auto"/>
        <w:ind w:left="212" w:right="165"/>
        <w:jc w:val="both"/>
      </w:pPr>
      <w:r>
        <w:rPr>
          <w:w w:val="110"/>
        </w:rPr>
        <w:t xml:space="preserve">The members of the firm are not paid any variable performance related pay as they are </w:t>
      </w:r>
      <w:proofErr w:type="gramStart"/>
      <w:r>
        <w:rPr>
          <w:w w:val="110"/>
        </w:rPr>
        <w:t>paid  in</w:t>
      </w:r>
      <w:proofErr w:type="gramEnd"/>
      <w:r>
        <w:rPr>
          <w:w w:val="110"/>
        </w:rPr>
        <w:t xml:space="preserve">  accordance with the Firm’s constitutional</w:t>
      </w:r>
      <w:r>
        <w:rPr>
          <w:spacing w:val="18"/>
          <w:w w:val="110"/>
        </w:rPr>
        <w:t xml:space="preserve"> </w:t>
      </w:r>
      <w:r>
        <w:rPr>
          <w:w w:val="110"/>
        </w:rPr>
        <w:t>document.</w:t>
      </w:r>
    </w:p>
    <w:p w:rsidR="007F1F80" w:rsidRDefault="007F1F80">
      <w:pPr>
        <w:pStyle w:val="BodyText"/>
        <w:spacing w:before="5"/>
        <w:rPr>
          <w:sz w:val="23"/>
        </w:rPr>
      </w:pPr>
    </w:p>
    <w:p w:rsidR="007F1F80" w:rsidRDefault="002250E9">
      <w:pPr>
        <w:pStyle w:val="ListParagraph"/>
        <w:numPr>
          <w:ilvl w:val="0"/>
          <w:numId w:val="1"/>
        </w:numPr>
        <w:tabs>
          <w:tab w:val="left" w:pos="453"/>
        </w:tabs>
        <w:spacing w:line="314" w:lineRule="auto"/>
        <w:ind w:right="167" w:firstLine="0"/>
        <w:jc w:val="both"/>
        <w:rPr>
          <w:sz w:val="18"/>
        </w:rPr>
      </w:pPr>
      <w:r>
        <w:rPr>
          <w:w w:val="110"/>
          <w:sz w:val="18"/>
        </w:rPr>
        <w:t xml:space="preserve">In accordance with CRD III the Firm takes a proportionate approach to its Remuneration Code disclosures in </w:t>
      </w:r>
      <w:r>
        <w:rPr>
          <w:w w:val="110"/>
          <w:sz w:val="18"/>
        </w:rPr>
        <w:t xml:space="preserve">line with the nature, scale and complexity of the Firm and as such has chosen not </w:t>
      </w:r>
      <w:proofErr w:type="gramStart"/>
      <w:r>
        <w:rPr>
          <w:w w:val="110"/>
          <w:sz w:val="18"/>
        </w:rPr>
        <w:t>to  disclose</w:t>
      </w:r>
      <w:proofErr w:type="gramEnd"/>
      <w:r>
        <w:rPr>
          <w:w w:val="110"/>
          <w:sz w:val="18"/>
        </w:rPr>
        <w:t xml:space="preserve"> exact remuneration figures in regard to the remuneration of the staff identified by the Firm’s policy.</w:t>
      </w:r>
    </w:p>
    <w:p w:rsidR="007F1F80" w:rsidRDefault="007F1F80">
      <w:pPr>
        <w:pStyle w:val="BodyText"/>
        <w:rPr>
          <w:sz w:val="24"/>
        </w:rPr>
      </w:pPr>
    </w:p>
    <w:p w:rsidR="007F1F80" w:rsidRDefault="002250E9">
      <w:pPr>
        <w:pStyle w:val="ListParagraph"/>
        <w:numPr>
          <w:ilvl w:val="0"/>
          <w:numId w:val="1"/>
        </w:numPr>
        <w:tabs>
          <w:tab w:val="left" w:pos="440"/>
        </w:tabs>
        <w:spacing w:before="1" w:line="316" w:lineRule="auto"/>
        <w:ind w:right="170" w:firstLine="0"/>
        <w:jc w:val="both"/>
        <w:rPr>
          <w:sz w:val="18"/>
        </w:rPr>
      </w:pPr>
      <w:r>
        <w:rPr>
          <w:w w:val="115"/>
          <w:sz w:val="18"/>
        </w:rPr>
        <w:t>Partnership profits allocated to members of the LLP are d</w:t>
      </w:r>
      <w:r>
        <w:rPr>
          <w:w w:val="115"/>
          <w:sz w:val="18"/>
        </w:rPr>
        <w:t>isclosed in aggregate in the report and accounts.</w:t>
      </w:r>
    </w:p>
    <w:p w:rsidR="007F1F80" w:rsidRDefault="007F1F80">
      <w:pPr>
        <w:pStyle w:val="BodyText"/>
        <w:spacing w:before="4"/>
        <w:rPr>
          <w:sz w:val="23"/>
        </w:rPr>
      </w:pPr>
    </w:p>
    <w:p w:rsidR="007F1F80" w:rsidRDefault="002250E9">
      <w:pPr>
        <w:pStyle w:val="BodyText"/>
        <w:spacing w:before="1" w:line="314" w:lineRule="auto"/>
        <w:ind w:left="212" w:right="166"/>
        <w:jc w:val="both"/>
      </w:pPr>
      <w:r>
        <w:rPr>
          <w:spacing w:val="3"/>
          <w:w w:val="110"/>
        </w:rPr>
        <w:t xml:space="preserve">We </w:t>
      </w:r>
      <w:r>
        <w:rPr>
          <w:w w:val="110"/>
        </w:rPr>
        <w:t xml:space="preserve">may omit required disclosure where </w:t>
      </w:r>
      <w:r>
        <w:rPr>
          <w:spacing w:val="2"/>
          <w:w w:val="110"/>
        </w:rPr>
        <w:t xml:space="preserve">we </w:t>
      </w:r>
      <w:r w:rsidR="002A59E4">
        <w:rPr>
          <w:w w:val="110"/>
        </w:rPr>
        <w:t xml:space="preserve">believe that the information </w:t>
      </w:r>
      <w:bookmarkStart w:id="0" w:name="_GoBack"/>
      <w:bookmarkEnd w:id="0"/>
      <w:r>
        <w:rPr>
          <w:w w:val="110"/>
        </w:rPr>
        <w:t>could  be  regarded  as  prejudicial to the UK and or other national transposition of Directive 95/46/EC of the  European Parliament a</w:t>
      </w:r>
      <w:r>
        <w:rPr>
          <w:w w:val="110"/>
        </w:rPr>
        <w:t>nd the Council of 24 October 1995 on the protection on individuals with regard to the processing</w:t>
      </w:r>
      <w:r>
        <w:rPr>
          <w:spacing w:val="4"/>
          <w:w w:val="110"/>
        </w:rPr>
        <w:t xml:space="preserve"> </w:t>
      </w:r>
      <w:r>
        <w:rPr>
          <w:w w:val="110"/>
        </w:rPr>
        <w:t>pf</w:t>
      </w:r>
      <w:r>
        <w:rPr>
          <w:spacing w:val="5"/>
          <w:w w:val="110"/>
        </w:rPr>
        <w:t xml:space="preserve"> </w:t>
      </w:r>
      <w:r>
        <w:rPr>
          <w:w w:val="110"/>
        </w:rPr>
        <w:t>personal</w:t>
      </w:r>
      <w:r>
        <w:rPr>
          <w:spacing w:val="3"/>
          <w:w w:val="110"/>
        </w:rPr>
        <w:t xml:space="preserve"> </w:t>
      </w:r>
      <w:r>
        <w:rPr>
          <w:w w:val="110"/>
        </w:rPr>
        <w:t>data</w:t>
      </w:r>
      <w:r>
        <w:rPr>
          <w:spacing w:val="6"/>
          <w:w w:val="110"/>
        </w:rPr>
        <w:t xml:space="preserve"> </w:t>
      </w:r>
      <w:r>
        <w:rPr>
          <w:w w:val="110"/>
        </w:rPr>
        <w:t>and</w:t>
      </w:r>
      <w:r>
        <w:rPr>
          <w:spacing w:val="4"/>
          <w:w w:val="110"/>
        </w:rPr>
        <w:t xml:space="preserve"> </w:t>
      </w:r>
      <w:r>
        <w:rPr>
          <w:w w:val="110"/>
        </w:rPr>
        <w:t>on</w:t>
      </w:r>
      <w:r>
        <w:rPr>
          <w:spacing w:val="9"/>
          <w:w w:val="110"/>
        </w:rPr>
        <w:t xml:space="preserve"> </w:t>
      </w:r>
      <w:r>
        <w:rPr>
          <w:w w:val="110"/>
        </w:rPr>
        <w:t>the</w:t>
      </w:r>
      <w:r>
        <w:rPr>
          <w:spacing w:val="10"/>
          <w:w w:val="110"/>
        </w:rPr>
        <w:t xml:space="preserve"> </w:t>
      </w:r>
      <w:r>
        <w:rPr>
          <w:w w:val="110"/>
        </w:rPr>
        <w:t>free</w:t>
      </w:r>
      <w:r>
        <w:rPr>
          <w:spacing w:val="9"/>
          <w:w w:val="110"/>
        </w:rPr>
        <w:t xml:space="preserve"> </w:t>
      </w:r>
      <w:r>
        <w:rPr>
          <w:w w:val="110"/>
        </w:rPr>
        <w:t>movement</w:t>
      </w:r>
      <w:r>
        <w:rPr>
          <w:spacing w:val="5"/>
          <w:w w:val="110"/>
        </w:rPr>
        <w:t xml:space="preserve"> </w:t>
      </w:r>
      <w:r>
        <w:rPr>
          <w:w w:val="110"/>
        </w:rPr>
        <w:t>of</w:t>
      </w:r>
      <w:r>
        <w:rPr>
          <w:spacing w:val="7"/>
          <w:w w:val="110"/>
        </w:rPr>
        <w:t xml:space="preserve"> </w:t>
      </w:r>
      <w:r>
        <w:rPr>
          <w:w w:val="110"/>
        </w:rPr>
        <w:t>such</w:t>
      </w:r>
      <w:r>
        <w:rPr>
          <w:spacing w:val="9"/>
          <w:w w:val="110"/>
        </w:rPr>
        <w:t xml:space="preserve"> </w:t>
      </w:r>
      <w:r>
        <w:rPr>
          <w:w w:val="110"/>
        </w:rPr>
        <w:t>data.</w:t>
      </w:r>
    </w:p>
    <w:p w:rsidR="007F1F80" w:rsidRDefault="007F1F80">
      <w:pPr>
        <w:pStyle w:val="BodyText"/>
        <w:rPr>
          <w:sz w:val="24"/>
        </w:rPr>
      </w:pPr>
    </w:p>
    <w:p w:rsidR="007F1F80" w:rsidRDefault="002250E9">
      <w:pPr>
        <w:pStyle w:val="BodyText"/>
        <w:ind w:left="212"/>
        <w:jc w:val="both"/>
      </w:pPr>
      <w:r>
        <w:rPr>
          <w:w w:val="110"/>
        </w:rPr>
        <w:t>We have made no omission on the grounds of data protection.</w:t>
      </w:r>
    </w:p>
    <w:sectPr w:rsidR="007F1F80" w:rsidSect="00F73C93">
      <w:pgSz w:w="12240" w:h="15840"/>
      <w:pgMar w:top="1440" w:right="1720" w:bottom="280" w:left="1660" w:header="67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E9" w:rsidRDefault="002250E9">
      <w:r>
        <w:separator/>
      </w:r>
    </w:p>
  </w:endnote>
  <w:endnote w:type="continuationSeparator" w:id="0">
    <w:p w:rsidR="002250E9" w:rsidRDefault="0022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E9" w:rsidRDefault="002250E9">
      <w:r>
        <w:separator/>
      </w:r>
    </w:p>
  </w:footnote>
  <w:footnote w:type="continuationSeparator" w:id="0">
    <w:p w:rsidR="002250E9" w:rsidRDefault="00225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80" w:rsidRDefault="00707D8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B6B6F4C" wp14:editId="5399752C">
              <wp:simplePos x="0" y="0"/>
              <wp:positionH relativeFrom="page">
                <wp:posOffset>1934845</wp:posOffset>
              </wp:positionH>
              <wp:positionV relativeFrom="page">
                <wp:posOffset>417830</wp:posOffset>
              </wp:positionV>
              <wp:extent cx="3892550" cy="391160"/>
              <wp:effectExtent l="127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F80" w:rsidRDefault="002250E9">
                          <w:pPr>
                            <w:spacing w:before="15"/>
                            <w:ind w:left="27" w:right="27"/>
                            <w:jc w:val="center"/>
                          </w:pPr>
                          <w:r>
                            <w:rPr>
                              <w:w w:val="120"/>
                            </w:rPr>
                            <w:t>Pillar 3, Stewardship Code and Remuneration Disclosure</w:t>
                          </w:r>
                        </w:p>
                        <w:p w:rsidR="007F1F80" w:rsidRDefault="002250E9">
                          <w:pPr>
                            <w:spacing w:before="73"/>
                            <w:ind w:left="27" w:right="27"/>
                            <w:jc w:val="center"/>
                            <w:rPr>
                              <w:w w:val="120"/>
                            </w:rPr>
                          </w:pPr>
                          <w:r>
                            <w:rPr>
                              <w:w w:val="120"/>
                            </w:rPr>
                            <w:t>31 December 201</w:t>
                          </w:r>
                          <w:r w:rsidR="00F73C93">
                            <w:rPr>
                              <w:w w:val="120"/>
                            </w:rPr>
                            <w:t>8</w:t>
                          </w:r>
                        </w:p>
                        <w:p w:rsidR="00F73C93" w:rsidRDefault="00F73C93">
                          <w:pPr>
                            <w:spacing w:before="73"/>
                            <w:ind w:left="27" w:right="2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2.35pt;margin-top:32.9pt;width:306.5pt;height:3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hmrQIAAKk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" filled="f" stroked="f">
              <v:textbox inset="0,0,0,0">
                <w:txbxContent>
                  <w:p w:rsidR="007F1F80" w:rsidRDefault="002250E9">
                    <w:pPr>
                      <w:spacing w:before="15"/>
                      <w:ind w:left="27" w:right="27"/>
                      <w:jc w:val="center"/>
                    </w:pPr>
                    <w:r>
                      <w:rPr>
                        <w:w w:val="120"/>
                      </w:rPr>
                      <w:t>Pillar 3, Stewardship Code and Remuneration Disclosure</w:t>
                    </w:r>
                  </w:p>
                  <w:p w:rsidR="007F1F80" w:rsidRDefault="002250E9">
                    <w:pPr>
                      <w:spacing w:before="73"/>
                      <w:ind w:left="27" w:right="27"/>
                      <w:jc w:val="center"/>
                      <w:rPr>
                        <w:w w:val="120"/>
                      </w:rPr>
                    </w:pPr>
                    <w:r>
                      <w:rPr>
                        <w:w w:val="120"/>
                      </w:rPr>
                      <w:t>31 December 201</w:t>
                    </w:r>
                    <w:r w:rsidR="00F73C93">
                      <w:rPr>
                        <w:w w:val="120"/>
                      </w:rPr>
                      <w:t>8</w:t>
                    </w:r>
                  </w:p>
                  <w:p w:rsidR="00F73C93" w:rsidRDefault="00F73C93">
                    <w:pPr>
                      <w:spacing w:before="73"/>
                      <w:ind w:left="27" w:right="27"/>
                      <w:jc w:val="cente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3519"/>
    <w:multiLevelType w:val="hybridMultilevel"/>
    <w:tmpl w:val="7EF02AE4"/>
    <w:lvl w:ilvl="0" w:tplc="E83E3D3A">
      <w:start w:val="1"/>
      <w:numFmt w:val="decimal"/>
      <w:lvlText w:val="%1."/>
      <w:lvlJc w:val="left"/>
      <w:pPr>
        <w:ind w:left="212" w:hanging="228"/>
        <w:jc w:val="left"/>
      </w:pPr>
      <w:rPr>
        <w:rFonts w:ascii="Times New Roman" w:eastAsia="Times New Roman" w:hAnsi="Times New Roman" w:cs="Times New Roman" w:hint="default"/>
        <w:spacing w:val="-2"/>
        <w:w w:val="115"/>
        <w:sz w:val="18"/>
        <w:szCs w:val="18"/>
      </w:rPr>
    </w:lvl>
    <w:lvl w:ilvl="1" w:tplc="336AC352">
      <w:numFmt w:val="bullet"/>
      <w:lvlText w:val="□"/>
      <w:lvlJc w:val="left"/>
      <w:pPr>
        <w:ind w:left="888" w:hanging="339"/>
      </w:pPr>
      <w:rPr>
        <w:rFonts w:ascii="Times New Roman" w:eastAsia="Times New Roman" w:hAnsi="Times New Roman" w:cs="Times New Roman" w:hint="default"/>
        <w:w w:val="78"/>
        <w:sz w:val="18"/>
        <w:szCs w:val="18"/>
      </w:rPr>
    </w:lvl>
    <w:lvl w:ilvl="2" w:tplc="97AE84A4">
      <w:numFmt w:val="bullet"/>
      <w:lvlText w:val="•"/>
      <w:lvlJc w:val="left"/>
      <w:pPr>
        <w:ind w:left="1766" w:hanging="339"/>
      </w:pPr>
      <w:rPr>
        <w:rFonts w:hint="default"/>
      </w:rPr>
    </w:lvl>
    <w:lvl w:ilvl="3" w:tplc="3208D412">
      <w:numFmt w:val="bullet"/>
      <w:lvlText w:val="•"/>
      <w:lvlJc w:val="left"/>
      <w:pPr>
        <w:ind w:left="2653" w:hanging="339"/>
      </w:pPr>
      <w:rPr>
        <w:rFonts w:hint="default"/>
      </w:rPr>
    </w:lvl>
    <w:lvl w:ilvl="4" w:tplc="581CBEBA">
      <w:numFmt w:val="bullet"/>
      <w:lvlText w:val="•"/>
      <w:lvlJc w:val="left"/>
      <w:pPr>
        <w:ind w:left="3540" w:hanging="339"/>
      </w:pPr>
      <w:rPr>
        <w:rFonts w:hint="default"/>
      </w:rPr>
    </w:lvl>
    <w:lvl w:ilvl="5" w:tplc="64488010">
      <w:numFmt w:val="bullet"/>
      <w:lvlText w:val="•"/>
      <w:lvlJc w:val="left"/>
      <w:pPr>
        <w:ind w:left="4426" w:hanging="339"/>
      </w:pPr>
      <w:rPr>
        <w:rFonts w:hint="default"/>
      </w:rPr>
    </w:lvl>
    <w:lvl w:ilvl="6" w:tplc="7A082B62">
      <w:numFmt w:val="bullet"/>
      <w:lvlText w:val="•"/>
      <w:lvlJc w:val="left"/>
      <w:pPr>
        <w:ind w:left="5313" w:hanging="339"/>
      </w:pPr>
      <w:rPr>
        <w:rFonts w:hint="default"/>
      </w:rPr>
    </w:lvl>
    <w:lvl w:ilvl="7" w:tplc="BFB87454">
      <w:numFmt w:val="bullet"/>
      <w:lvlText w:val="•"/>
      <w:lvlJc w:val="left"/>
      <w:pPr>
        <w:ind w:left="6200" w:hanging="339"/>
      </w:pPr>
      <w:rPr>
        <w:rFonts w:hint="default"/>
      </w:rPr>
    </w:lvl>
    <w:lvl w:ilvl="8" w:tplc="5590015E">
      <w:numFmt w:val="bullet"/>
      <w:lvlText w:val="•"/>
      <w:lvlJc w:val="left"/>
      <w:pPr>
        <w:ind w:left="7086" w:hanging="339"/>
      </w:pPr>
      <w:rPr>
        <w:rFonts w:hint="default"/>
      </w:rPr>
    </w:lvl>
  </w:abstractNum>
  <w:abstractNum w:abstractNumId="1">
    <w:nsid w:val="61CF1690"/>
    <w:multiLevelType w:val="hybridMultilevel"/>
    <w:tmpl w:val="981AA7D4"/>
    <w:lvl w:ilvl="0" w:tplc="ECE4A1E4">
      <w:numFmt w:val="bullet"/>
      <w:lvlText w:val="-"/>
      <w:lvlJc w:val="left"/>
      <w:pPr>
        <w:ind w:left="744" w:hanging="534"/>
      </w:pPr>
      <w:rPr>
        <w:rFonts w:ascii="Times New Roman" w:eastAsia="Times New Roman" w:hAnsi="Times New Roman" w:cs="Times New Roman" w:hint="default"/>
        <w:w w:val="103"/>
        <w:sz w:val="18"/>
        <w:szCs w:val="18"/>
      </w:rPr>
    </w:lvl>
    <w:lvl w:ilvl="1" w:tplc="3A645CE4">
      <w:start w:val="1"/>
      <w:numFmt w:val="decimal"/>
      <w:lvlText w:val="%2."/>
      <w:lvlJc w:val="left"/>
      <w:pPr>
        <w:ind w:left="888" w:hanging="338"/>
        <w:jc w:val="left"/>
      </w:pPr>
      <w:rPr>
        <w:rFonts w:ascii="Times New Roman" w:eastAsia="Times New Roman" w:hAnsi="Times New Roman" w:cs="Times New Roman" w:hint="default"/>
        <w:spacing w:val="-2"/>
        <w:w w:val="115"/>
        <w:sz w:val="18"/>
        <w:szCs w:val="18"/>
      </w:rPr>
    </w:lvl>
    <w:lvl w:ilvl="2" w:tplc="1296670C">
      <w:numFmt w:val="bullet"/>
      <w:lvlText w:val="•"/>
      <w:lvlJc w:val="left"/>
      <w:pPr>
        <w:ind w:left="1766" w:hanging="338"/>
      </w:pPr>
      <w:rPr>
        <w:rFonts w:hint="default"/>
      </w:rPr>
    </w:lvl>
    <w:lvl w:ilvl="3" w:tplc="D7FA48AC">
      <w:numFmt w:val="bullet"/>
      <w:lvlText w:val="•"/>
      <w:lvlJc w:val="left"/>
      <w:pPr>
        <w:ind w:left="2653" w:hanging="338"/>
      </w:pPr>
      <w:rPr>
        <w:rFonts w:hint="default"/>
      </w:rPr>
    </w:lvl>
    <w:lvl w:ilvl="4" w:tplc="7106588C">
      <w:numFmt w:val="bullet"/>
      <w:lvlText w:val="•"/>
      <w:lvlJc w:val="left"/>
      <w:pPr>
        <w:ind w:left="3540" w:hanging="338"/>
      </w:pPr>
      <w:rPr>
        <w:rFonts w:hint="default"/>
      </w:rPr>
    </w:lvl>
    <w:lvl w:ilvl="5" w:tplc="4884866E">
      <w:numFmt w:val="bullet"/>
      <w:lvlText w:val="•"/>
      <w:lvlJc w:val="left"/>
      <w:pPr>
        <w:ind w:left="4426" w:hanging="338"/>
      </w:pPr>
      <w:rPr>
        <w:rFonts w:hint="default"/>
      </w:rPr>
    </w:lvl>
    <w:lvl w:ilvl="6" w:tplc="A5149DD0">
      <w:numFmt w:val="bullet"/>
      <w:lvlText w:val="•"/>
      <w:lvlJc w:val="left"/>
      <w:pPr>
        <w:ind w:left="5313" w:hanging="338"/>
      </w:pPr>
      <w:rPr>
        <w:rFonts w:hint="default"/>
      </w:rPr>
    </w:lvl>
    <w:lvl w:ilvl="7" w:tplc="B61603BA">
      <w:numFmt w:val="bullet"/>
      <w:lvlText w:val="•"/>
      <w:lvlJc w:val="left"/>
      <w:pPr>
        <w:ind w:left="6200" w:hanging="338"/>
      </w:pPr>
      <w:rPr>
        <w:rFonts w:hint="default"/>
      </w:rPr>
    </w:lvl>
    <w:lvl w:ilvl="8" w:tplc="6EDA413A">
      <w:numFmt w:val="bullet"/>
      <w:lvlText w:val="•"/>
      <w:lvlJc w:val="left"/>
      <w:pPr>
        <w:ind w:left="7086" w:hanging="33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80"/>
    <w:rsid w:val="002250E9"/>
    <w:rsid w:val="002A59E4"/>
    <w:rsid w:val="00707D8D"/>
    <w:rsid w:val="007F1F80"/>
    <w:rsid w:val="00815841"/>
    <w:rsid w:val="00BD62E4"/>
    <w:rsid w:val="00F7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5"/>
      <w:ind w:left="27" w:right="27"/>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88" w:hanging="33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3C93"/>
    <w:pPr>
      <w:tabs>
        <w:tab w:val="center" w:pos="4680"/>
        <w:tab w:val="right" w:pos="9360"/>
      </w:tabs>
    </w:pPr>
  </w:style>
  <w:style w:type="character" w:customStyle="1" w:styleId="HeaderChar">
    <w:name w:val="Header Char"/>
    <w:basedOn w:val="DefaultParagraphFont"/>
    <w:link w:val="Header"/>
    <w:uiPriority w:val="99"/>
    <w:rsid w:val="00F73C93"/>
    <w:rPr>
      <w:rFonts w:ascii="Times New Roman" w:eastAsia="Times New Roman" w:hAnsi="Times New Roman" w:cs="Times New Roman"/>
    </w:rPr>
  </w:style>
  <w:style w:type="paragraph" w:styleId="Footer">
    <w:name w:val="footer"/>
    <w:basedOn w:val="Normal"/>
    <w:link w:val="FooterChar"/>
    <w:uiPriority w:val="99"/>
    <w:unhideWhenUsed/>
    <w:rsid w:val="00F73C93"/>
    <w:pPr>
      <w:tabs>
        <w:tab w:val="center" w:pos="4680"/>
        <w:tab w:val="right" w:pos="9360"/>
      </w:tabs>
    </w:pPr>
  </w:style>
  <w:style w:type="character" w:customStyle="1" w:styleId="FooterChar">
    <w:name w:val="Footer Char"/>
    <w:basedOn w:val="DefaultParagraphFont"/>
    <w:link w:val="Footer"/>
    <w:uiPriority w:val="99"/>
    <w:rsid w:val="00F73C9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5"/>
      <w:ind w:left="27" w:right="27"/>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88" w:hanging="33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3C93"/>
    <w:pPr>
      <w:tabs>
        <w:tab w:val="center" w:pos="4680"/>
        <w:tab w:val="right" w:pos="9360"/>
      </w:tabs>
    </w:pPr>
  </w:style>
  <w:style w:type="character" w:customStyle="1" w:styleId="HeaderChar">
    <w:name w:val="Header Char"/>
    <w:basedOn w:val="DefaultParagraphFont"/>
    <w:link w:val="Header"/>
    <w:uiPriority w:val="99"/>
    <w:rsid w:val="00F73C93"/>
    <w:rPr>
      <w:rFonts w:ascii="Times New Roman" w:eastAsia="Times New Roman" w:hAnsi="Times New Roman" w:cs="Times New Roman"/>
    </w:rPr>
  </w:style>
  <w:style w:type="paragraph" w:styleId="Footer">
    <w:name w:val="footer"/>
    <w:basedOn w:val="Normal"/>
    <w:link w:val="FooterChar"/>
    <w:uiPriority w:val="99"/>
    <w:unhideWhenUsed/>
    <w:rsid w:val="00F73C93"/>
    <w:pPr>
      <w:tabs>
        <w:tab w:val="center" w:pos="4680"/>
        <w:tab w:val="right" w:pos="9360"/>
      </w:tabs>
    </w:pPr>
  </w:style>
  <w:style w:type="character" w:customStyle="1" w:styleId="FooterChar">
    <w:name w:val="Footer Char"/>
    <w:basedOn w:val="DefaultParagraphFont"/>
    <w:link w:val="Footer"/>
    <w:uiPriority w:val="99"/>
    <w:rsid w:val="00F73C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6ED88-E385-45C8-971D-7DA54EE3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Bluefin Europe Pillar 3 Disclosure December 20 17.doc</vt:lpstr>
    </vt:vector>
  </TitlesOfParts>
  <Company>Microsoft</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Bluefin Europe Pillar 3 Disclosure December 20 17.doc</dc:title>
  <dc:creator>Rick Noltemy</dc:creator>
  <cp:lastModifiedBy>Mike Kole</cp:lastModifiedBy>
  <cp:revision>4</cp:revision>
  <dcterms:created xsi:type="dcterms:W3CDTF">2019-05-01T17:31:00Z</dcterms:created>
  <dcterms:modified xsi:type="dcterms:W3CDTF">2019-05-01T20:03:00Z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LastSaved">
    <vt:filetime>2019-04-24T00:00:00Z</vt:filetime>
  </property>
</Properties>
</file>